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100"/>
          <w:szCs w:val="100"/>
          <w:lang w:val="zh-CN"/>
        </w:rPr>
      </w:pPr>
      <w:bookmarkStart w:id="0" w:name="_Toc36712339"/>
      <w:r>
        <w:rPr>
          <w:rFonts w:eastAsia="黑体"/>
          <w:sz w:val="28"/>
          <w:szCs w:val="28"/>
          <w:lang w:val="zh-CN"/>
        </w:rPr>
        <w:t>ICS</w:t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ab/>
      </w:r>
      <w:r>
        <w:rPr>
          <w:rFonts w:eastAsia="黑体"/>
          <w:sz w:val="28"/>
          <w:szCs w:val="28"/>
          <w:lang w:val="zh-CN"/>
        </w:rPr>
        <w:t xml:space="preserve">                                  </w:t>
      </w:r>
      <w:r>
        <w:rPr>
          <w:rFonts w:eastAsia="黑体"/>
          <w:b/>
          <w:sz w:val="100"/>
          <w:szCs w:val="100"/>
          <w:lang w:val="zh-CN"/>
        </w:rPr>
        <w:t>DB 14</w:t>
      </w:r>
    </w:p>
    <w:p>
      <w:pPr>
        <w:jc w:val="distribute"/>
        <w:rPr>
          <w:rFonts w:eastAsia="黑体"/>
          <w:sz w:val="56"/>
          <w:szCs w:val="56"/>
          <w:lang w:val="zh-CN"/>
        </w:rPr>
      </w:pPr>
      <w:r>
        <w:rPr>
          <w:rFonts w:eastAsia="黑体"/>
          <w:spacing w:val="373"/>
          <w:kern w:val="0"/>
          <w:sz w:val="56"/>
          <w:szCs w:val="56"/>
          <w:fitText w:val="8400" w:id="0"/>
          <w:lang w:val="zh-CN"/>
        </w:rPr>
        <w:t>山西省地方标</w:t>
      </w:r>
      <w:r>
        <w:rPr>
          <w:rFonts w:eastAsia="黑体"/>
          <w:spacing w:val="2"/>
          <w:kern w:val="0"/>
          <w:sz w:val="56"/>
          <w:szCs w:val="56"/>
          <w:fitText w:val="8400" w:id="0"/>
          <w:lang w:val="zh-CN"/>
        </w:rPr>
        <w:t>准</w:t>
      </w:r>
    </w:p>
    <w:p>
      <w:pPr>
        <w:jc w:val="right"/>
        <w:rPr>
          <w:b/>
          <w:sz w:val="28"/>
          <w:szCs w:val="28"/>
          <w:lang w:val="zh-CN"/>
        </w:rPr>
      </w:pPr>
      <w:r>
        <w:rPr>
          <w:b/>
          <w:sz w:val="28"/>
          <w:szCs w:val="28"/>
          <w:lang w:val="zh-CN"/>
        </w:rPr>
        <w:t>DB 14</w:t>
      </w:r>
      <w:r>
        <w:rPr>
          <w:rFonts w:hint="eastAsia"/>
          <w:b/>
          <w:sz w:val="28"/>
          <w:szCs w:val="28"/>
          <w:lang w:val="zh-CN"/>
        </w:rPr>
        <w:t>/</w:t>
      </w:r>
      <w:r>
        <w:rPr>
          <w:b/>
          <w:sz w:val="28"/>
          <w:szCs w:val="28"/>
          <w:lang w:val="zh-CN"/>
        </w:rPr>
        <w:t>T XXXX</w:t>
      </w:r>
      <w:r>
        <w:rPr>
          <w:rFonts w:hint="eastAsia"/>
          <w:b/>
          <w:sz w:val="28"/>
          <w:szCs w:val="28"/>
          <w:lang w:val="zh-CN"/>
        </w:rPr>
        <w:t>——</w:t>
      </w:r>
      <w:r>
        <w:rPr>
          <w:b/>
          <w:sz w:val="28"/>
          <w:szCs w:val="28"/>
          <w:lang w:val="zh-CN"/>
        </w:rPr>
        <w:t>20XX</w:t>
      </w:r>
    </w:p>
    <w:p>
      <w:pPr>
        <w:tabs>
          <w:tab w:val="left" w:pos="7410"/>
        </w:tabs>
        <w:jc w:val="left"/>
        <w:rPr>
          <w:b/>
          <w:sz w:val="28"/>
          <w:szCs w:val="28"/>
          <w:lang w:val="zh-CN"/>
        </w:rPr>
      </w:pPr>
      <w:r>
        <w:rPr>
          <w:b/>
          <w:sz w:val="28"/>
          <w:szCs w:val="28"/>
        </w:rPr>
        <w:pict>
          <v:line id="_x0000_s1026" o:spid="_x0000_s1026" o:spt="20" style="position:absolute;left:0pt;margin-left:0.75pt;margin-top:17.25pt;height:0pt;width:427.5pt;z-index:251659264;mso-width-relative:page;mso-height-relative:page;" stroked="t" coordsize="21600,21600" o:gfxdata="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i6yoNQAAAAHAQAADwAA&#10;AAAAAAABACAAAAAiAAAAZHJzL2Rvd25yZXYueG1sUEsBAhQAFAAAAAgAh07iQGdTUfDhAQAAsgMA&#10;AA4AAAAAAAAAAQAgAAAAIwEAAGRycy9lMm9Eb2MueG1sUEsFBgAAAAAGAAYAWQEAAHYFAAAAAA==&#10;">
            <v:path arrowok="t"/>
            <v:fill focussize="0,0"/>
            <v:stroke weight="1.5pt" color="#000000" joinstyle="miter"/>
            <v:imagedata o:title=""/>
            <o:lock v:ext="edit"/>
          </v:line>
        </w:pict>
      </w:r>
      <w:r>
        <w:rPr>
          <w:b/>
          <w:sz w:val="28"/>
          <w:szCs w:val="28"/>
          <w:lang w:val="zh-CN"/>
        </w:rPr>
        <w:tab/>
      </w:r>
    </w:p>
    <w:p>
      <w:pPr>
        <w:rPr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rPr>
          <w:szCs w:val="21"/>
          <w:lang w:val="zh-CN"/>
        </w:rPr>
      </w:pPr>
    </w:p>
    <w:p>
      <w:pPr>
        <w:jc w:val="center"/>
        <w:rPr>
          <w:rFonts w:ascii="黑体" w:hAnsi="黑体" w:eastAsia="黑体"/>
          <w:b/>
          <w:spacing w:val="181"/>
          <w:kern w:val="0"/>
          <w:sz w:val="52"/>
          <w:szCs w:val="52"/>
          <w:lang w:val="zh-CN"/>
        </w:rPr>
      </w:pPr>
      <w:r>
        <w:rPr>
          <w:rFonts w:hint="eastAsia" w:ascii="黑体" w:hAnsi="黑体" w:eastAsia="黑体"/>
          <w:b/>
          <w:spacing w:val="227"/>
          <w:kern w:val="0"/>
          <w:sz w:val="52"/>
          <w:szCs w:val="52"/>
          <w:fitText w:val="4420" w:id="1"/>
          <w:lang w:val="zh-CN"/>
        </w:rPr>
        <w:t>大同玉分</w:t>
      </w:r>
      <w:r>
        <w:rPr>
          <w:rFonts w:hint="eastAsia" w:ascii="黑体" w:hAnsi="黑体" w:eastAsia="黑体"/>
          <w:b/>
          <w:spacing w:val="2"/>
          <w:kern w:val="0"/>
          <w:sz w:val="52"/>
          <w:szCs w:val="52"/>
          <w:fitText w:val="4420" w:id="1"/>
          <w:lang w:val="zh-CN"/>
        </w:rPr>
        <w:t>级</w:t>
      </w:r>
    </w:p>
    <w:p>
      <w:pPr>
        <w:jc w:val="center"/>
        <w:rPr>
          <w:rFonts w:ascii="黑体" w:hAnsi="黑体" w:eastAsia="黑体"/>
          <w:b/>
          <w:sz w:val="52"/>
          <w:szCs w:val="52"/>
          <w:lang w:val="zh-CN"/>
        </w:rPr>
      </w:pPr>
    </w:p>
    <w:p>
      <w:pPr>
        <w:jc w:val="both"/>
        <w:rPr>
          <w:rFonts w:ascii="黑体" w:hAnsi="黑体" w:eastAsia="黑体"/>
          <w:b/>
          <w:sz w:val="52"/>
          <w:szCs w:val="52"/>
          <w:lang w:val="zh-CN"/>
        </w:rPr>
      </w:pPr>
      <w:bookmarkStart w:id="100" w:name="_GoBack"/>
      <w:bookmarkEnd w:id="100"/>
    </w:p>
    <w:p>
      <w:pPr>
        <w:jc w:val="center"/>
        <w:rPr>
          <w:rFonts w:ascii="黑体" w:hAnsi="黑体" w:eastAsia="黑体"/>
          <w:b/>
          <w:sz w:val="52"/>
          <w:szCs w:val="52"/>
          <w:lang w:val="zh-CN"/>
        </w:rPr>
      </w:pPr>
    </w:p>
    <w:p>
      <w:pPr>
        <w:jc w:val="center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sz w:val="28"/>
          <w:szCs w:val="28"/>
          <w:lang w:val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征求意见稿</w:t>
      </w:r>
      <w:r>
        <w:rPr>
          <w:rFonts w:hint="eastAsia" w:ascii="黑体" w:hAnsi="黑体" w:eastAsia="黑体"/>
          <w:sz w:val="28"/>
          <w:szCs w:val="28"/>
          <w:lang w:val="zh-CN"/>
        </w:rPr>
        <w:t>）</w:t>
      </w:r>
    </w:p>
    <w:p>
      <w:pPr>
        <w:rPr>
          <w:rFonts w:ascii="黑体" w:hAnsi="黑体" w:eastAsia="黑体"/>
          <w:sz w:val="28"/>
          <w:szCs w:val="28"/>
          <w:lang w:val="zh-CN"/>
        </w:rPr>
      </w:pPr>
    </w:p>
    <w:p>
      <w:pPr>
        <w:jc w:val="center"/>
        <w:rPr>
          <w:rFonts w:ascii="黑体" w:hAnsi="黑体" w:eastAsia="黑体"/>
          <w:sz w:val="28"/>
          <w:szCs w:val="28"/>
          <w:lang w:val="zh-CN"/>
        </w:rPr>
      </w:pPr>
    </w:p>
    <w:p>
      <w:pPr>
        <w:jc w:val="left"/>
        <w:rPr>
          <w:rFonts w:ascii="黑体" w:hAnsi="黑体" w:eastAsia="黑体"/>
          <w:sz w:val="28"/>
          <w:szCs w:val="28"/>
          <w:u w:val="single"/>
          <w:lang w:val="zh-CN"/>
        </w:rPr>
      </w:pP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2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0XX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XX 发布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 xml:space="preserve"> </w:t>
      </w:r>
      <w:r>
        <w:rPr>
          <w:rFonts w:ascii="黑体" w:hAnsi="黑体" w:eastAsia="黑体"/>
          <w:sz w:val="28"/>
          <w:szCs w:val="28"/>
          <w:u w:val="single"/>
          <w:lang w:val="zh-CN"/>
        </w:rPr>
        <w:t xml:space="preserve">                           20XX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</w:t>
      </w:r>
      <w:r>
        <w:rPr>
          <w:rFonts w:ascii="黑体" w:hAnsi="黑体" w:eastAsia="黑体"/>
          <w:sz w:val="28"/>
          <w:szCs w:val="28"/>
          <w:u w:val="single"/>
          <w:lang w:val="zh-CN"/>
        </w:rPr>
        <w:t>XX</w:t>
      </w:r>
      <w:r>
        <w:rPr>
          <w:rFonts w:hint="eastAsia" w:ascii="黑体" w:hAnsi="黑体" w:eastAsia="黑体"/>
          <w:sz w:val="28"/>
          <w:szCs w:val="28"/>
          <w:u w:val="single"/>
          <w:lang w:val="zh-CN"/>
        </w:rPr>
        <w:t>-XX实施</w:t>
      </w:r>
    </w:p>
    <w:p>
      <w:pPr>
        <w:jc w:val="center"/>
        <w:rPr>
          <w:rFonts w:ascii="黑体" w:hAnsi="黑体" w:eastAsia="黑体"/>
          <w:sz w:val="28"/>
          <w:szCs w:val="28"/>
          <w:lang w:val="zh-CN"/>
        </w:rPr>
      </w:pPr>
      <w:r>
        <w:rPr>
          <w:rFonts w:hint="eastAsia" w:ascii="黑体" w:hAnsi="黑体" w:eastAsia="黑体"/>
          <w:b/>
          <w:spacing w:val="78"/>
          <w:kern w:val="0"/>
          <w:sz w:val="28"/>
          <w:szCs w:val="28"/>
          <w:fitText w:val="4215" w:id="2"/>
          <w:lang w:val="zh-CN"/>
        </w:rPr>
        <w:t>山西省市场监督管理</w:t>
      </w:r>
      <w:r>
        <w:rPr>
          <w:rFonts w:hint="eastAsia" w:ascii="黑体" w:hAnsi="黑体" w:eastAsia="黑体"/>
          <w:b/>
          <w:spacing w:val="5"/>
          <w:kern w:val="0"/>
          <w:sz w:val="28"/>
          <w:szCs w:val="28"/>
          <w:fitText w:val="4215" w:id="2"/>
          <w:lang w:val="zh-CN"/>
        </w:rPr>
        <w:t>局</w:t>
      </w:r>
      <w:r>
        <w:rPr>
          <w:rFonts w:hint="eastAsia" w:ascii="黑体" w:hAnsi="黑体" w:eastAsia="黑体"/>
          <w:b/>
          <w:sz w:val="28"/>
          <w:szCs w:val="28"/>
          <w:lang w:val="zh-CN"/>
        </w:rPr>
        <w:t xml:space="preserve"> </w:t>
      </w:r>
      <w:r>
        <w:rPr>
          <w:rFonts w:ascii="黑体" w:hAnsi="黑体" w:eastAsia="黑体"/>
          <w:b/>
          <w:sz w:val="28"/>
          <w:szCs w:val="28"/>
          <w:lang w:val="zh-CN"/>
        </w:rPr>
        <w:t xml:space="preserve"> </w:t>
      </w:r>
      <w:r>
        <w:rPr>
          <w:rFonts w:ascii="黑体" w:hAnsi="黑体" w:eastAsia="黑体"/>
          <w:sz w:val="28"/>
          <w:szCs w:val="28"/>
          <w:lang w:val="zh-CN"/>
        </w:rPr>
        <w:t>发布</w:t>
      </w:r>
    </w:p>
    <w:sdt>
      <w:sdtPr>
        <w:rPr>
          <w:rFonts w:ascii="Times New Roman" w:hAnsi="Times New Roman" w:eastAsia="宋体" w:cs="Times New Roman"/>
          <w:color w:val="auto"/>
          <w:kern w:val="2"/>
          <w:sz w:val="21"/>
          <w:szCs w:val="24"/>
          <w:lang w:val="zh-CN"/>
        </w:rPr>
        <w:id w:val="-1631472863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zh-CN"/>
        </w:rPr>
      </w:sdtEndPr>
      <w:sdtContent>
        <w:p>
          <w:pPr>
            <w:pStyle w:val="34"/>
            <w:jc w:val="center"/>
            <w:rPr>
              <w:rFonts w:ascii="Times New Roman" w:hAnsi="Times New Roman" w:eastAsia="宋体" w:cs="Times New Roman"/>
              <w:color w:val="auto"/>
              <w:kern w:val="2"/>
              <w:sz w:val="21"/>
              <w:szCs w:val="24"/>
              <w:lang w:val="zh-CN"/>
            </w:rPr>
            <w:sectPr>
              <w:footerReference r:id="rId4" w:type="default"/>
              <w:headerReference r:id="rId3" w:type="even"/>
              <w:footerReference r:id="rId5" w:type="even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</w:p>
        <w:p>
          <w:pPr>
            <w:pStyle w:val="34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</w:t>
          </w:r>
          <w:r>
            <w:rPr>
              <w:rFonts w:hint="eastAsia"/>
              <w:lang w:val="zh-CN"/>
            </w:rPr>
            <w:t>次</w:t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_Toc31817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前</w:t>
          </w:r>
          <w:r>
            <w:t>  </w:t>
          </w:r>
          <w:r>
            <w:rPr>
              <w:rFonts w:hint="eastAsia"/>
            </w:rPr>
            <w:t>言</w:t>
          </w:r>
          <w:r>
            <w:tab/>
          </w:r>
          <w:r>
            <w:fldChar w:fldCharType="begin"/>
          </w:r>
          <w:r>
            <w:instrText xml:space="preserve"> PAGEREF _Toc31817 \h </w:instrText>
          </w:r>
          <w:r>
            <w:fldChar w:fldCharType="separate"/>
          </w:r>
          <w:r>
            <w:t>III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_Toc29946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1</w:t>
          </w:r>
          <w:r>
            <w:t xml:space="preserve"> </w:t>
          </w:r>
          <w:r>
            <w:rPr>
              <w:rFonts w:hint="eastAsia"/>
            </w:rPr>
            <w:t>范围</w:t>
          </w:r>
          <w:r>
            <w:tab/>
          </w:r>
          <w:r>
            <w:fldChar w:fldCharType="begin"/>
          </w:r>
          <w:r>
            <w:instrText xml:space="preserve"> PAGEREF _Toc29946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_Toc4360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2规范性引用文件</w:t>
          </w:r>
          <w:r>
            <w:tab/>
          </w:r>
          <w:r>
            <w:fldChar w:fldCharType="begin"/>
          </w:r>
          <w:r>
            <w:instrText xml:space="preserve"> PAGEREF _Toc4360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_Toc6889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 xml:space="preserve"> 术语和定义</w:t>
          </w:r>
          <w:r>
            <w:tab/>
          </w:r>
          <w:r>
            <w:fldChar w:fldCharType="begin"/>
          </w:r>
          <w:r>
            <w:instrText xml:space="preserve"> PAGEREF _Toc6889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_Toc20947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 xml:space="preserve">.1 大同玉  </w:t>
          </w:r>
          <w:r>
            <w:rPr>
              <w:rFonts w:hint="eastAsia"/>
            </w:rPr>
            <w:t>Datong  Jade</w:t>
          </w:r>
          <w:r>
            <w:tab/>
          </w:r>
          <w:r>
            <w:fldChar w:fldCharType="begin"/>
          </w:r>
          <w:r>
            <w:instrText xml:space="preserve"> PAGEREF _Toc20947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_Toc9057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 xml:space="preserve">.2 </w:t>
          </w:r>
          <w:r>
            <w:rPr>
              <w:rFonts w:hint="eastAsia"/>
            </w:rPr>
            <w:t>大同玉分级 Datong  Jade grading</w:t>
          </w:r>
          <w:r>
            <w:tab/>
          </w:r>
          <w:r>
            <w:fldChar w:fldCharType="begin"/>
          </w:r>
          <w:r>
            <w:instrText xml:space="preserve"> PAGEREF _Toc9057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_Toc12292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>.3 颜色</w:t>
          </w:r>
          <w:r>
            <w:rPr>
              <w:rFonts w:hint="eastAsia"/>
            </w:rPr>
            <w:t>分级 Color grading</w:t>
          </w:r>
          <w:r>
            <w:tab/>
          </w:r>
          <w:r>
            <w:fldChar w:fldCharType="begin"/>
          </w:r>
          <w:r>
            <w:instrText xml:space="preserve"> PAGEREF _Toc12292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_Toc6561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3.3.1 色调Hue</w:t>
          </w:r>
          <w:r>
            <w:tab/>
          </w:r>
          <w:r>
            <w:fldChar w:fldCharType="begin"/>
          </w:r>
          <w:r>
            <w:instrText xml:space="preserve"> PAGEREF _Toc6561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_Toc13290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3.3.2 彩度 Chroma</w:t>
          </w:r>
          <w:r>
            <w:tab/>
          </w:r>
          <w:r>
            <w:fldChar w:fldCharType="begin"/>
          </w:r>
          <w:r>
            <w:instrText xml:space="preserve"> PAGEREF _Toc13290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_Toc3748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3.3.3明度 Value</w:t>
          </w:r>
          <w:r>
            <w:tab/>
          </w:r>
          <w:r>
            <w:fldChar w:fldCharType="begin"/>
          </w:r>
          <w:r>
            <w:instrText xml:space="preserve"> PAGEREF _Toc3748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_Toc13548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3.3.4 色卡 Color chip</w:t>
          </w:r>
          <w:r>
            <w:tab/>
          </w:r>
          <w:r>
            <w:fldChar w:fldCharType="begin"/>
          </w:r>
          <w:r>
            <w:instrText xml:space="preserve"> PAGEREF _Toc13548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_Toc17694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>.4 透明度分级 Transparence grading</w:t>
          </w:r>
          <w:r>
            <w:tab/>
          </w:r>
          <w:r>
            <w:fldChar w:fldCharType="begin"/>
          </w:r>
          <w:r>
            <w:instrText xml:space="preserve"> PAGEREF _Toc17694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_Toc22551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3.4.1 透明度 Transparence</w:t>
          </w:r>
          <w:r>
            <w:tab/>
          </w:r>
          <w:r>
            <w:fldChar w:fldCharType="begin"/>
          </w:r>
          <w:r>
            <w:instrText xml:space="preserve"> PAGEREF _Toc22551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_Toc11891 </w:instrText>
          </w:r>
          <w:r>
            <w:rPr>
              <w:bCs/>
              <w:lang w:val="zh-CN"/>
            </w:rPr>
            <w:fldChar w:fldCharType="separate"/>
          </w:r>
          <w:r>
            <w:t>3.5 质地分级 Texture grading</w:t>
          </w:r>
          <w:r>
            <w:tab/>
          </w:r>
          <w:r>
            <w:fldChar w:fldCharType="begin"/>
          </w:r>
          <w:r>
            <w:instrText xml:space="preserve"> PAGEREF _Toc11891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_Toc12217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3.5.1质地 texture</w:t>
          </w:r>
          <w:r>
            <w:tab/>
          </w:r>
          <w:r>
            <w:fldChar w:fldCharType="begin"/>
          </w:r>
          <w:r>
            <w:instrText xml:space="preserve"> PAGEREF _Toc12217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_Toc18502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 xml:space="preserve">.6 </w:t>
          </w:r>
          <w:r>
            <w:rPr>
              <w:rFonts w:hint="eastAsia"/>
            </w:rPr>
            <w:t>净度分级 Clarity grading</w:t>
          </w:r>
          <w:r>
            <w:tab/>
          </w:r>
          <w:r>
            <w:fldChar w:fldCharType="begin"/>
          </w:r>
          <w:r>
            <w:instrText xml:space="preserve"> PAGEREF _Toc18502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_Toc27958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3.6.1 净度 Clarity</w:t>
          </w:r>
          <w:r>
            <w:tab/>
          </w:r>
          <w:r>
            <w:fldChar w:fldCharType="begin"/>
          </w:r>
          <w:r>
            <w:instrText xml:space="preserve"> PAGEREF _Toc27958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_Toc10124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3.6.2 大同玉的内部特征 Internal characteristics</w:t>
          </w:r>
          <w:r>
            <w:tab/>
          </w:r>
          <w:r>
            <w:fldChar w:fldCharType="begin"/>
          </w:r>
          <w:r>
            <w:instrText xml:space="preserve"> PAGEREF _Toc10124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_Toc24134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3.6.3 大同玉的外部特征 External characteristics</w:t>
          </w:r>
          <w:r>
            <w:tab/>
          </w:r>
          <w:r>
            <w:fldChar w:fldCharType="begin"/>
          </w:r>
          <w:r>
            <w:instrText xml:space="preserve"> PAGEREF _Toc24134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_Toc9556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 xml:space="preserve">.7 </w:t>
          </w:r>
          <w:r>
            <w:rPr>
              <w:rFonts w:hint="eastAsia"/>
            </w:rPr>
            <w:t>工艺评价 Arts and crafts appraisal</w:t>
          </w:r>
          <w:r>
            <w:tab/>
          </w:r>
          <w:r>
            <w:fldChar w:fldCharType="begin"/>
          </w:r>
          <w:r>
            <w:instrText xml:space="preserve"> PAGEREF _Toc9556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_Toc31019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3</w:t>
          </w:r>
          <w:r>
            <w:t xml:space="preserve">.8 </w:t>
          </w:r>
          <w:r>
            <w:rPr>
              <w:rFonts w:hint="eastAsia"/>
            </w:rPr>
            <w:t>分级光源 Jadeite light</w:t>
          </w:r>
          <w:r>
            <w:tab/>
          </w:r>
          <w:r>
            <w:fldChar w:fldCharType="begin"/>
          </w:r>
          <w:r>
            <w:instrText xml:space="preserve"> PAGEREF _Toc31019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_Toc664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</w:t>
          </w:r>
          <w:r>
            <w:t xml:space="preserve"> </w:t>
          </w:r>
          <w:r>
            <w:rPr>
              <w:rFonts w:hint="eastAsia"/>
            </w:rPr>
            <w:t>大同玉分级</w:t>
          </w:r>
          <w:r>
            <w:tab/>
          </w:r>
          <w:r>
            <w:fldChar w:fldCharType="begin"/>
          </w:r>
          <w:r>
            <w:instrText xml:space="preserve"> PAGEREF _Toc664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_Toc6058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4.1 大同玉颜色分级</w:t>
          </w:r>
          <w:r>
            <w:tab/>
          </w:r>
          <w:r>
            <w:fldChar w:fldCharType="begin"/>
          </w:r>
          <w:r>
            <w:instrText xml:space="preserve"> PAGEREF _Toc6058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_Toc17368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4.1.1 色调</w:t>
          </w:r>
          <w:r>
            <w:tab/>
          </w:r>
          <w:r>
            <w:fldChar w:fldCharType="begin"/>
          </w:r>
          <w:r>
            <w:instrText xml:space="preserve"> PAGEREF _Toc17368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_Toc16081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4.1.2 彩度</w:t>
          </w:r>
          <w:r>
            <w:tab/>
          </w:r>
          <w:r>
            <w:fldChar w:fldCharType="begin"/>
          </w:r>
          <w:r>
            <w:instrText xml:space="preserve"> PAGEREF _Toc16081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_Toc19023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4.1.3</w:t>
          </w:r>
          <w:r>
            <w:rPr>
              <w:rFonts w:ascii="Calibri" w:hAnsi="Calibri" w:cs="Calibri"/>
            </w:rPr>
            <w:t> </w:t>
          </w:r>
          <w:r>
            <w:rPr>
              <w:rFonts w:hint="eastAsia"/>
            </w:rPr>
            <w:t>明度</w:t>
          </w:r>
          <w:r>
            <w:tab/>
          </w:r>
          <w:r>
            <w:fldChar w:fldCharType="begin"/>
          </w:r>
          <w:r>
            <w:instrText xml:space="preserve"> PAGEREF _Toc19023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_Toc453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4.1.4 大同玉其他色调颜色分级</w:t>
          </w:r>
          <w:r>
            <w:tab/>
          </w:r>
          <w:r>
            <w:fldChar w:fldCharType="begin"/>
          </w:r>
          <w:r>
            <w:instrText xml:space="preserve"> PAGEREF _Toc453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_Toc8190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</w:t>
          </w:r>
          <w:r>
            <w:t xml:space="preserve">.2 </w:t>
          </w:r>
          <w:r>
            <w:rPr>
              <w:rFonts w:hint="eastAsia"/>
            </w:rPr>
            <w:t>大同玉透明度分级</w:t>
          </w:r>
          <w:r>
            <w:tab/>
          </w:r>
          <w:r>
            <w:fldChar w:fldCharType="begin"/>
          </w:r>
          <w:r>
            <w:instrText xml:space="preserve"> PAGEREF _Toc8190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_Toc16435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</w:t>
          </w:r>
          <w:r>
            <w:t>.2.1</w:t>
          </w:r>
          <w:r>
            <w:rPr>
              <w:rFonts w:ascii="Calibri" w:hAnsi="Calibri" w:cs="Calibri"/>
            </w:rPr>
            <w:t> </w:t>
          </w:r>
          <w:r>
            <w:rPr>
              <w:rFonts w:hint="eastAsia"/>
            </w:rPr>
            <w:t>透明度级别</w:t>
          </w:r>
          <w:r>
            <w:tab/>
          </w:r>
          <w:r>
            <w:fldChar w:fldCharType="begin"/>
          </w:r>
          <w:r>
            <w:instrText xml:space="preserve"> PAGEREF _Toc16435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_Toc21731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</w:t>
          </w:r>
          <w:r>
            <w:t xml:space="preserve">.3 </w:t>
          </w:r>
          <w:r>
            <w:rPr>
              <w:rFonts w:hint="eastAsia"/>
            </w:rPr>
            <w:t>大同玉质地分级</w:t>
          </w:r>
          <w:r>
            <w:tab/>
          </w:r>
          <w:r>
            <w:fldChar w:fldCharType="begin"/>
          </w:r>
          <w:r>
            <w:instrText xml:space="preserve"> PAGEREF _Toc21731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_Toc17689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</w:t>
          </w:r>
          <w:r>
            <w:t xml:space="preserve">.4 </w:t>
          </w:r>
          <w:r>
            <w:rPr>
              <w:rFonts w:hint="eastAsia"/>
            </w:rPr>
            <w:t>大同玉净度分级</w:t>
          </w:r>
          <w:r>
            <w:tab/>
          </w:r>
          <w:r>
            <w:fldChar w:fldCharType="begin"/>
          </w:r>
          <w:r>
            <w:instrText xml:space="preserve"> PAGEREF _Toc17689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_Toc32532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4.5大同玉工艺评价</w:t>
          </w:r>
          <w:r>
            <w:tab/>
          </w:r>
          <w:r>
            <w:fldChar w:fldCharType="begin"/>
          </w:r>
          <w:r>
            <w:instrText xml:space="preserve"> PAGEREF _Toc32532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_Toc12543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4.6大同玉</w:t>
          </w:r>
          <w:r>
            <w:t>不均匀性评价</w:t>
          </w:r>
          <w:r>
            <w:tab/>
          </w:r>
          <w:r>
            <w:fldChar w:fldCharType="begin"/>
          </w:r>
          <w:r>
            <w:instrText xml:space="preserve"> PAGEREF _Toc12543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_Toc15516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5 分级要求</w:t>
          </w:r>
          <w:r>
            <w:tab/>
          </w:r>
          <w:r>
            <w:fldChar w:fldCharType="begin"/>
          </w:r>
          <w:r>
            <w:instrText xml:space="preserve"> PAGEREF _Toc15516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_Toc13019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5.1 </w:t>
          </w:r>
          <w:r>
            <w:t>环境要求</w:t>
          </w:r>
          <w:r>
            <w:tab/>
          </w:r>
          <w:r>
            <w:fldChar w:fldCharType="begin"/>
          </w:r>
          <w:r>
            <w:instrText xml:space="preserve"> PAGEREF _Toc13019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_Toc19783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5.2 人员要求</w:t>
          </w:r>
          <w:r>
            <w:tab/>
          </w:r>
          <w:r>
            <w:fldChar w:fldCharType="begin"/>
          </w:r>
          <w:r>
            <w:instrText xml:space="preserve"> PAGEREF _Toc19783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_Toc27959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6 质量</w:t>
          </w:r>
          <w:r>
            <w:tab/>
          </w:r>
          <w:r>
            <w:fldChar w:fldCharType="begin"/>
          </w:r>
          <w:r>
            <w:instrText xml:space="preserve"> PAGEREF _Toc27959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_Toc19391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7 大同玉分级证书</w:t>
          </w:r>
          <w:r>
            <w:tab/>
          </w:r>
          <w:r>
            <w:fldChar w:fldCharType="begin"/>
          </w:r>
          <w:r>
            <w:instrText xml:space="preserve"> PAGEREF _Toc19391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_Toc4426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7.1 大同玉分级证书应包含但不限于以下内容</w:t>
          </w:r>
          <w:r>
            <w:t>：</w:t>
          </w:r>
          <w:r>
            <w:tab/>
          </w:r>
          <w:r>
            <w:fldChar w:fldCharType="begin"/>
          </w:r>
          <w:r>
            <w:instrText xml:space="preserve"> PAGEREF _Toc4426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_Toc2221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7.2 其他</w:t>
          </w:r>
          <w:r>
            <w:tab/>
          </w:r>
          <w:r>
            <w:fldChar w:fldCharType="begin"/>
          </w:r>
          <w:r>
            <w:instrText xml:space="preserve"> PAGEREF _Toc2221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_Toc18474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 xml:space="preserve">附录A </w:t>
          </w:r>
          <w:r>
            <w:rPr>
              <w:rFonts w:hint="eastAsia"/>
              <w:lang w:eastAsia="zh-CN"/>
            </w:rPr>
            <w:t>大同玉（紫色）颜色分级</w:t>
          </w:r>
          <w:r>
            <w:rPr>
              <w:rFonts w:hint="eastAsia"/>
            </w:rPr>
            <w:t>色卡</w:t>
          </w:r>
          <w:r>
            <w:tab/>
          </w:r>
          <w:r>
            <w:fldChar w:fldCharType="begin"/>
          </w:r>
          <w:r>
            <w:instrText xml:space="preserve"> PAGEREF _Toc18474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ind w:left="0" w:leftChars="0" w:firstLine="0" w:firstLineChars="0"/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_Toc24501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eastAsia"/>
            </w:rPr>
            <w:t>附录B 大同玉常见内、外部特征</w:t>
          </w:r>
          <w:r>
            <w:tab/>
          </w:r>
          <w:r>
            <w:fldChar w:fldCharType="begin"/>
          </w:r>
          <w:r>
            <w:instrText xml:space="preserve"> PAGEREF _Toc24501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pStyle w:val="35"/>
      </w:pPr>
      <w:bookmarkStart w:id="1" w:name="_Toc36717274"/>
      <w:bookmarkStart w:id="2" w:name="_Toc31817"/>
      <w:r>
        <w:rPr>
          <w:rFonts w:hint="eastAsia"/>
        </w:rPr>
        <w:t>前</w:t>
      </w:r>
      <w:bookmarkStart w:id="3" w:name="BKQY"/>
      <w:r>
        <w:t>  </w:t>
      </w:r>
      <w:r>
        <w:rPr>
          <w:rFonts w:hint="eastAsia"/>
        </w:rPr>
        <w:t>言</w:t>
      </w:r>
      <w:bookmarkEnd w:id="1"/>
      <w:bookmarkEnd w:id="2"/>
      <w:bookmarkEnd w:id="3"/>
    </w:p>
    <w:p>
      <w:pPr>
        <w:ind w:right="386" w:rightChars="184" w:firstLine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本标准是按照 GB/T1.1—2009《标准化工作导则第 1 部分：标准的结构和编写规则》给出的规则起草。</w:t>
      </w:r>
    </w:p>
    <w:p>
      <w:pPr>
        <w:ind w:left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本标准由山西省地质勘查局提出并监督实施。</w:t>
      </w:r>
    </w:p>
    <w:p>
      <w:pPr>
        <w:ind w:left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本标准由</w:t>
      </w:r>
      <w:r>
        <w:rPr>
          <w:rFonts w:hint="eastAsia" w:ascii="宋体" w:hAnsi="宋体" w:cs="宋体"/>
          <w:szCs w:val="21"/>
        </w:rPr>
        <w:t>山西省贵金属及珠宝玉石标准化技术委员会归口</w:t>
      </w:r>
      <w:r>
        <w:rPr>
          <w:rFonts w:ascii="宋体" w:hAnsi="宋体" w:cs="宋体"/>
          <w:szCs w:val="21"/>
        </w:rPr>
        <w:t>。</w:t>
      </w:r>
    </w:p>
    <w:p>
      <w:pPr>
        <w:ind w:firstLine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本标准起草单位：</w:t>
      </w:r>
      <w:r>
        <w:rPr>
          <w:rFonts w:hint="eastAsia" w:ascii="宋体" w:hAnsi="宋体" w:cs="宋体"/>
          <w:szCs w:val="21"/>
        </w:rPr>
        <w:t>山西省岩矿测试应用研究所（山西省贵金属及珠宝玉石检测中心）。</w:t>
      </w:r>
    </w:p>
    <w:p>
      <w:pPr>
        <w:ind w:left="420"/>
        <w:rPr>
          <w:sz w:val="20"/>
          <w:szCs w:val="20"/>
        </w:rPr>
      </w:pPr>
      <w:r>
        <w:rPr>
          <w:rFonts w:ascii="宋体" w:hAnsi="宋体" w:cs="宋体"/>
          <w:szCs w:val="21"/>
        </w:rPr>
        <w:t>本标准起草人：</w:t>
      </w:r>
      <w:r>
        <w:rPr>
          <w:rFonts w:hint="eastAsia" w:ascii="宋体" w:hAnsi="宋体" w:cs="宋体"/>
          <w:szCs w:val="21"/>
        </w:rPr>
        <w:t>史伟、张庆、牛建、党红敏、张睿、柳牡丹、邢旺娟、田红梅、李茜、胡玥、姜馨钰、李岸龙。</w:t>
      </w:r>
    </w:p>
    <w:p>
      <w:pPr>
        <w:jc w:val="center"/>
        <w:rPr>
          <w:b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大同玉分级（草案）</w:t>
      </w:r>
    </w:p>
    <w:p>
      <w:pPr>
        <w:pStyle w:val="2"/>
      </w:pPr>
      <w:bookmarkStart w:id="4" w:name="_Toc36716524"/>
      <w:bookmarkStart w:id="5" w:name="_Toc29946"/>
      <w:bookmarkStart w:id="6" w:name="_Toc36716568"/>
      <w:bookmarkStart w:id="7" w:name="_Toc36717275"/>
      <w:bookmarkStart w:id="8" w:name="_Toc36716684"/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范围</w:t>
      </w:r>
      <w:bookmarkEnd w:id="0"/>
      <w:bookmarkEnd w:id="4"/>
      <w:bookmarkEnd w:id="5"/>
      <w:bookmarkEnd w:id="6"/>
      <w:bookmarkEnd w:id="7"/>
      <w:bookmarkEnd w:id="8"/>
    </w:p>
    <w:p>
      <w:pPr>
        <w:ind w:firstLine="420" w:firstLineChars="200"/>
      </w:pPr>
      <w:r>
        <w:rPr>
          <w:rFonts w:hint="eastAsia"/>
        </w:rPr>
        <w:t>本标准规定了天然的未镶嵌及镶嵌磨制抛光大同玉的分级规则。</w:t>
      </w:r>
    </w:p>
    <w:p>
      <w:pPr>
        <w:ind w:firstLine="420" w:firstLineChars="200"/>
      </w:pPr>
      <w:r>
        <w:t>本标准适用于天然的未镶嵌及镶嵌磨制抛光</w:t>
      </w:r>
      <w:r>
        <w:rPr>
          <w:rFonts w:hint="eastAsia"/>
        </w:rPr>
        <w:t>大同玉</w:t>
      </w:r>
      <w:r>
        <w:t>。</w:t>
      </w:r>
    </w:p>
    <w:p>
      <w:pPr>
        <w:pStyle w:val="2"/>
      </w:pPr>
      <w:bookmarkStart w:id="9" w:name="_Toc36716685"/>
      <w:bookmarkStart w:id="10" w:name="_Toc36716525"/>
      <w:bookmarkStart w:id="11" w:name="_Toc36716569"/>
      <w:bookmarkStart w:id="12" w:name="_Toc36712340"/>
      <w:bookmarkStart w:id="13" w:name="_Toc4360"/>
      <w:bookmarkStart w:id="14" w:name="_Toc36717276"/>
      <w:r>
        <w:rPr>
          <w:rFonts w:hint="eastAsia"/>
        </w:rPr>
        <w:t>2规范性引用文件</w:t>
      </w:r>
      <w:bookmarkEnd w:id="9"/>
      <w:bookmarkEnd w:id="10"/>
      <w:bookmarkEnd w:id="11"/>
      <w:bookmarkEnd w:id="12"/>
      <w:bookmarkEnd w:id="13"/>
      <w:bookmarkEnd w:id="14"/>
    </w:p>
    <w:p>
      <w:pPr>
        <w:ind w:firstLine="420" w:firstLineChars="20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ind w:firstLine="420"/>
      </w:pPr>
      <w:r>
        <w:t>GB/T 16552</w:t>
      </w:r>
      <w:r>
        <w:rPr>
          <w:rFonts w:hint="eastAsia"/>
        </w:rPr>
        <w:t xml:space="preserve">  </w:t>
      </w:r>
      <w:r>
        <w:t>珠宝玉石 名称</w:t>
      </w:r>
    </w:p>
    <w:p>
      <w:pPr>
        <w:ind w:firstLine="420"/>
      </w:pPr>
      <w:r>
        <w:t>GB/T 16553</w:t>
      </w:r>
      <w:r>
        <w:rPr>
          <w:rFonts w:hint="eastAsia"/>
        </w:rPr>
        <w:t xml:space="preserve">  </w:t>
      </w:r>
      <w:r>
        <w:t>珠宝玉石 鉴定</w:t>
      </w:r>
    </w:p>
    <w:p>
      <w:pPr>
        <w:ind w:firstLine="420"/>
      </w:pPr>
      <w:r>
        <w:t xml:space="preserve">GB/T </w:t>
      </w:r>
      <w:r>
        <w:rPr>
          <w:rFonts w:hint="eastAsia"/>
        </w:rPr>
        <w:t>31912  饰品标识</w:t>
      </w:r>
    </w:p>
    <w:p>
      <w:pPr>
        <w:ind w:firstLine="420"/>
      </w:pPr>
      <w:r>
        <w:t xml:space="preserve">GB/T </w:t>
      </w:r>
      <w:r>
        <w:rPr>
          <w:rFonts w:hint="eastAsia"/>
        </w:rPr>
        <w:t>34098  石英质玉分类与定名</w:t>
      </w:r>
    </w:p>
    <w:p>
      <w:pPr>
        <w:ind w:firstLine="420"/>
      </w:pPr>
      <w:r>
        <w:rPr>
          <w:rFonts w:hint="eastAsia"/>
        </w:rPr>
        <w:t>DB/T 2052-2020 大同玉</w:t>
      </w:r>
    </w:p>
    <w:p>
      <w:pPr>
        <w:ind w:firstLine="420"/>
      </w:pPr>
      <w:r>
        <w:rPr>
          <w:rFonts w:hint="eastAsia"/>
        </w:rPr>
        <w:t>GB/T 36127-2018玉雕制品工艺质量评价</w:t>
      </w:r>
    </w:p>
    <w:p>
      <w:pPr>
        <w:pStyle w:val="2"/>
      </w:pPr>
      <w:bookmarkStart w:id="15" w:name="_Toc36712341"/>
      <w:bookmarkEnd w:id="15"/>
      <w:bookmarkStart w:id="16" w:name="_Toc6889"/>
      <w:bookmarkStart w:id="17" w:name="_Toc36716570"/>
      <w:bookmarkStart w:id="18" w:name="_Toc36716686"/>
      <w:bookmarkStart w:id="19" w:name="_Toc36717277"/>
      <w:bookmarkStart w:id="20" w:name="_Toc36716526"/>
      <w:r>
        <w:rPr>
          <w:rFonts w:hint="eastAsia"/>
        </w:rPr>
        <w:t>3</w:t>
      </w:r>
      <w:r>
        <w:t xml:space="preserve"> 术语和定义</w:t>
      </w:r>
      <w:bookmarkEnd w:id="16"/>
      <w:bookmarkEnd w:id="17"/>
      <w:bookmarkEnd w:id="18"/>
      <w:bookmarkEnd w:id="19"/>
      <w:bookmarkEnd w:id="20"/>
    </w:p>
    <w:p>
      <w:pPr>
        <w:ind w:firstLine="420"/>
      </w:pPr>
      <w:r>
        <w:t>GB/T 16552、GB/T 16553</w:t>
      </w:r>
      <w:r>
        <w:rPr>
          <w:rFonts w:hint="eastAsia"/>
        </w:rPr>
        <w:t>、</w:t>
      </w:r>
      <w:r>
        <w:t xml:space="preserve">GB/T </w:t>
      </w:r>
      <w:r>
        <w:rPr>
          <w:rFonts w:hint="eastAsia"/>
        </w:rPr>
        <w:t>31912、</w:t>
      </w:r>
      <w:r>
        <w:t xml:space="preserve">GB/T </w:t>
      </w:r>
      <w:r>
        <w:rPr>
          <w:rFonts w:hint="eastAsia"/>
        </w:rPr>
        <w:t>34098、DB/T 2052-2020、GB/T 36127-2018界定</w:t>
      </w:r>
      <w:r>
        <w:t>的术语以及下列术语和定义适用于本</w:t>
      </w:r>
      <w:r>
        <w:rPr>
          <w:rFonts w:hint="eastAsia"/>
        </w:rPr>
        <w:t>文件</w:t>
      </w:r>
      <w:r>
        <w:t>。</w:t>
      </w:r>
    </w:p>
    <w:p>
      <w:pPr>
        <w:pStyle w:val="3"/>
      </w:pPr>
      <w:bookmarkStart w:id="21" w:name="_Toc36716571"/>
      <w:bookmarkStart w:id="22" w:name="_Toc36717278"/>
      <w:bookmarkStart w:id="23" w:name="_Toc36716527"/>
      <w:bookmarkStart w:id="24" w:name="_Toc36716687"/>
      <w:bookmarkStart w:id="25" w:name="_Toc20947"/>
      <w:r>
        <w:rPr>
          <w:rFonts w:hint="eastAsia"/>
        </w:rPr>
        <w:t>3</w:t>
      </w:r>
      <w:r>
        <w:t>.1 大同玉</w:t>
      </w:r>
      <w:bookmarkEnd w:id="21"/>
      <w:bookmarkEnd w:id="22"/>
      <w:bookmarkEnd w:id="23"/>
      <w:bookmarkEnd w:id="24"/>
      <w:r>
        <w:t xml:space="preserve">  </w:t>
      </w:r>
      <w:r>
        <w:rPr>
          <w:rFonts w:hint="eastAsia"/>
        </w:rPr>
        <w:t>Datong  Jade</w:t>
      </w:r>
      <w:bookmarkEnd w:id="25"/>
    </w:p>
    <w:p>
      <w:pPr>
        <w:ind w:firstLine="420"/>
      </w:pPr>
      <w:r>
        <w:rPr>
          <w:rFonts w:hint="eastAsia"/>
        </w:rPr>
        <w:t>系指产于大同市行政区域内及周边地区，常见于天镇县、阳高县等地的玉髓（玛瑙/碧石），典型代表颜色为紫色，其他常见颜色为黄色、红色、白色、绿色等。</w:t>
      </w:r>
    </w:p>
    <w:p>
      <w:pPr>
        <w:pStyle w:val="3"/>
      </w:pPr>
      <w:bookmarkStart w:id="26" w:name="_Toc9057"/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大同玉分级 Datong  Jade grading</w:t>
      </w:r>
      <w:bookmarkEnd w:id="26"/>
    </w:p>
    <w:p>
      <w:pPr>
        <w:ind w:firstLine="420"/>
      </w:pPr>
      <w:r>
        <w:rPr>
          <w:rFonts w:hint="eastAsia"/>
        </w:rPr>
        <w:t>从颜色（colour）、透明度（transparence）、质地（texture）、净度（clarity）、工艺评价(Arts and crafts appraisal)五个方面对大同玉进行级别划分。</w:t>
      </w:r>
    </w:p>
    <w:p>
      <w:pPr>
        <w:pStyle w:val="3"/>
      </w:pPr>
      <w:bookmarkStart w:id="27" w:name="_Toc12292"/>
      <w:r>
        <w:rPr>
          <w:rFonts w:hint="eastAsia"/>
        </w:rPr>
        <w:t>3</w:t>
      </w:r>
      <w:r>
        <w:t>.3 颜色</w:t>
      </w:r>
      <w:r>
        <w:rPr>
          <w:rFonts w:hint="eastAsia"/>
        </w:rPr>
        <w:t>分级 Color grading</w:t>
      </w:r>
      <w:bookmarkEnd w:id="27"/>
    </w:p>
    <w:p>
      <w:pPr>
        <w:ind w:firstLine="420"/>
      </w:pPr>
      <w:r>
        <w:rPr>
          <w:rFonts w:hint="eastAsia"/>
        </w:rPr>
        <w:t>在规定的环境下，对大同玉的颜色进行划分和描述。</w:t>
      </w:r>
    </w:p>
    <w:p>
      <w:pPr>
        <w:pStyle w:val="4"/>
      </w:pPr>
      <w:bookmarkStart w:id="28" w:name="_Toc6561"/>
      <w:r>
        <w:rPr>
          <w:rFonts w:hint="eastAsia"/>
        </w:rPr>
        <w:t>3.3.1 色调Hue</w:t>
      </w:r>
      <w:bookmarkEnd w:id="28"/>
    </w:p>
    <w:p>
      <w:pPr>
        <w:ind w:firstLine="420"/>
      </w:pPr>
      <w:r>
        <w:rPr>
          <w:rFonts w:hint="eastAsia"/>
        </w:rPr>
        <w:t>表示大同玉颜色的特性</w:t>
      </w:r>
      <w:r>
        <w:t>。</w:t>
      </w:r>
    </w:p>
    <w:p>
      <w:pPr>
        <w:pStyle w:val="4"/>
      </w:pPr>
      <w:bookmarkStart w:id="29" w:name="_Toc13290"/>
      <w:r>
        <w:rPr>
          <w:rFonts w:hint="eastAsia"/>
        </w:rPr>
        <w:t>3.3.2 彩度 Chroma</w:t>
      </w:r>
      <w:bookmarkEnd w:id="29"/>
    </w:p>
    <w:p>
      <w:pPr>
        <w:ind w:firstLine="420"/>
      </w:pPr>
      <w:r>
        <w:rPr>
          <w:rFonts w:hint="eastAsia"/>
        </w:rPr>
        <w:t>大同玉颜色的浓淡程度。</w:t>
      </w:r>
    </w:p>
    <w:p>
      <w:pPr>
        <w:pStyle w:val="4"/>
      </w:pPr>
      <w:bookmarkStart w:id="30" w:name="_Toc3748"/>
      <w:r>
        <w:rPr>
          <w:rFonts w:hint="eastAsia"/>
        </w:rPr>
        <w:t>3.3.3明度 Value</w:t>
      </w:r>
      <w:bookmarkEnd w:id="30"/>
    </w:p>
    <w:p>
      <w:pPr>
        <w:ind w:firstLine="420"/>
      </w:pPr>
      <w:r>
        <w:rPr>
          <w:rFonts w:hint="eastAsia"/>
        </w:rPr>
        <w:t>大同玉颜色的明暗程度。</w:t>
      </w:r>
    </w:p>
    <w:p>
      <w:pPr>
        <w:ind w:firstLine="420"/>
      </w:pPr>
    </w:p>
    <w:p>
      <w:pPr>
        <w:pStyle w:val="4"/>
      </w:pPr>
      <w:bookmarkStart w:id="31" w:name="_Toc13548"/>
      <w:r>
        <w:rPr>
          <w:rFonts w:hint="eastAsia"/>
        </w:rPr>
        <w:t>3.3.4 色卡 Color chip</w:t>
      </w:r>
      <w:bookmarkEnd w:id="31"/>
    </w:p>
    <w:p>
      <w:r>
        <w:rPr>
          <w:rFonts w:hint="eastAsia"/>
        </w:rPr>
        <w:t>表示一定颜色的标准比色卡。</w:t>
      </w:r>
    </w:p>
    <w:p>
      <w:r>
        <w:rPr>
          <w:rFonts w:hint="eastAsia"/>
        </w:rPr>
        <w:t>注：在本文件中可以用</w:t>
      </w:r>
      <w:r>
        <w:rPr>
          <w:rFonts w:hint="eastAsia"/>
          <w:lang w:eastAsia="zh-CN"/>
        </w:rPr>
        <w:t>大同玉（紫色）颜色分级色卡</w:t>
      </w:r>
      <w:r>
        <w:rPr>
          <w:rFonts w:hint="eastAsia"/>
        </w:rPr>
        <w:t>进行颜色比色。</w:t>
      </w:r>
    </w:p>
    <w:p>
      <w:pPr>
        <w:pStyle w:val="3"/>
      </w:pPr>
      <w:bookmarkStart w:id="32" w:name="_Toc36716574"/>
      <w:bookmarkStart w:id="33" w:name="_Toc36716690"/>
      <w:bookmarkStart w:id="34" w:name="_Toc36716530"/>
      <w:bookmarkStart w:id="35" w:name="_Toc36717281"/>
      <w:bookmarkStart w:id="36" w:name="_Toc17694"/>
      <w:r>
        <w:rPr>
          <w:rFonts w:hint="eastAsia"/>
        </w:rPr>
        <w:t>3</w:t>
      </w:r>
      <w:r>
        <w:t xml:space="preserve">.4 </w:t>
      </w:r>
      <w:bookmarkEnd w:id="32"/>
      <w:bookmarkEnd w:id="33"/>
      <w:bookmarkEnd w:id="34"/>
      <w:bookmarkEnd w:id="35"/>
      <w:r>
        <w:t>透明度分级 Transparence grading</w:t>
      </w:r>
      <w:bookmarkEnd w:id="36"/>
    </w:p>
    <w:p>
      <w:pPr>
        <w:ind w:firstLine="420"/>
      </w:pPr>
      <w:r>
        <w:t>在规定的环境下对</w:t>
      </w:r>
      <w:r>
        <w:rPr>
          <w:rFonts w:hint="eastAsia"/>
        </w:rPr>
        <w:t>大同玉</w:t>
      </w:r>
      <w:r>
        <w:t>的透明度进行级别划分。</w:t>
      </w:r>
    </w:p>
    <w:p>
      <w:pPr>
        <w:pStyle w:val="4"/>
      </w:pPr>
      <w:bookmarkStart w:id="37" w:name="_Toc22551"/>
      <w:r>
        <w:rPr>
          <w:rFonts w:hint="eastAsia"/>
        </w:rPr>
        <w:t>3.4.1 透明度 Transparence</w:t>
      </w:r>
      <w:bookmarkEnd w:id="37"/>
    </w:p>
    <w:p>
      <w:pPr>
        <w:ind w:firstLine="420"/>
      </w:pPr>
      <w:r>
        <w:rPr>
          <w:rFonts w:hint="eastAsia"/>
        </w:rPr>
        <w:t>大同玉</w:t>
      </w:r>
      <w:r>
        <w:t>对可见光的透过程度。</w:t>
      </w:r>
    </w:p>
    <w:p>
      <w:pPr>
        <w:pStyle w:val="3"/>
      </w:pPr>
      <w:bookmarkStart w:id="38" w:name="_Toc36716575"/>
      <w:bookmarkStart w:id="39" w:name="_Toc36716531"/>
      <w:bookmarkStart w:id="40" w:name="_Toc36717282"/>
      <w:bookmarkStart w:id="41" w:name="_Toc36716691"/>
      <w:bookmarkStart w:id="42" w:name="_Toc11891"/>
      <w:r>
        <w:t>3.5</w:t>
      </w:r>
      <w:bookmarkEnd w:id="38"/>
      <w:bookmarkEnd w:id="39"/>
      <w:bookmarkEnd w:id="40"/>
      <w:bookmarkEnd w:id="41"/>
      <w:r>
        <w:t xml:space="preserve"> 质地分级 Texture grading</w:t>
      </w:r>
      <w:bookmarkEnd w:id="42"/>
    </w:p>
    <w:p>
      <w:pPr>
        <w:ind w:firstLine="420"/>
      </w:pPr>
      <w:r>
        <w:t>在规定的环境下对</w:t>
      </w:r>
      <w:r>
        <w:rPr>
          <w:rFonts w:hint="eastAsia"/>
        </w:rPr>
        <w:t>大同玉</w:t>
      </w:r>
      <w:r>
        <w:t>的质地进行级别划分。</w:t>
      </w:r>
    </w:p>
    <w:p>
      <w:pPr>
        <w:pStyle w:val="4"/>
      </w:pPr>
      <w:bookmarkStart w:id="43" w:name="_Toc12217"/>
      <w:r>
        <w:rPr>
          <w:rFonts w:hint="eastAsia"/>
        </w:rPr>
        <w:t>3.5.1质地 texture</w:t>
      </w:r>
      <w:bookmarkEnd w:id="43"/>
    </w:p>
    <w:p>
      <w:pPr>
        <w:ind w:firstLine="420"/>
      </w:pPr>
      <w:r>
        <w:t>组成</w:t>
      </w:r>
      <w:r>
        <w:rPr>
          <w:rFonts w:hint="eastAsia"/>
        </w:rPr>
        <w:t>大同玉</w:t>
      </w:r>
      <w:r>
        <w:t>的矿物颗粒大小、形状、均匀程度及颗粒间相互关系等因素的综合特征。</w:t>
      </w:r>
    </w:p>
    <w:p>
      <w:pPr>
        <w:pStyle w:val="3"/>
      </w:pPr>
      <w:bookmarkStart w:id="44" w:name="_Toc36717284"/>
      <w:bookmarkStart w:id="45" w:name="_Toc36716533"/>
      <w:bookmarkStart w:id="46" w:name="_Toc36716693"/>
      <w:bookmarkStart w:id="47" w:name="_Toc36716577"/>
      <w:bookmarkStart w:id="48" w:name="_Toc18502"/>
      <w:r>
        <w:rPr>
          <w:rFonts w:hint="eastAsia"/>
        </w:rPr>
        <w:t>3</w:t>
      </w:r>
      <w:r>
        <w:t xml:space="preserve">.6 </w:t>
      </w:r>
      <w:bookmarkEnd w:id="44"/>
      <w:bookmarkEnd w:id="45"/>
      <w:bookmarkEnd w:id="46"/>
      <w:bookmarkEnd w:id="47"/>
      <w:r>
        <w:rPr>
          <w:rFonts w:hint="eastAsia"/>
        </w:rPr>
        <w:t>净度分级 Clarity grading</w:t>
      </w:r>
      <w:bookmarkEnd w:id="48"/>
    </w:p>
    <w:p>
      <w:pPr>
        <w:ind w:firstLine="420"/>
      </w:pPr>
      <w:r>
        <w:rPr>
          <w:rFonts w:hint="eastAsia"/>
        </w:rPr>
        <w:t>在规定的环境下对大同玉的净度进行级别划分。</w:t>
      </w:r>
    </w:p>
    <w:p>
      <w:pPr>
        <w:pStyle w:val="4"/>
      </w:pPr>
      <w:bookmarkStart w:id="49" w:name="_Toc27958"/>
      <w:r>
        <w:rPr>
          <w:rFonts w:hint="eastAsia"/>
        </w:rPr>
        <w:t>3.6.1 净度 Clarity</w:t>
      </w:r>
      <w:bookmarkEnd w:id="49"/>
    </w:p>
    <w:p>
      <w:pPr>
        <w:ind w:firstLine="420"/>
      </w:pPr>
      <w:r>
        <w:rPr>
          <w:rFonts w:hint="eastAsia"/>
        </w:rPr>
        <w:t>大同玉</w:t>
      </w:r>
      <w:r>
        <w:t>的内、外部特征对其美观和（或）耐久性的影响程度。</w:t>
      </w:r>
    </w:p>
    <w:p>
      <w:pPr>
        <w:pStyle w:val="4"/>
      </w:pPr>
      <w:bookmarkStart w:id="50" w:name="_Toc10124"/>
      <w:r>
        <w:rPr>
          <w:rFonts w:hint="eastAsia"/>
        </w:rPr>
        <w:t>3.6.2 大同玉的内部特征 Internal characteristics</w:t>
      </w:r>
      <w:bookmarkEnd w:id="50"/>
    </w:p>
    <w:p>
      <w:pPr>
        <w:ind w:firstLine="420"/>
      </w:pPr>
      <w:r>
        <w:t>包含在或延伸至</w:t>
      </w:r>
      <w:r>
        <w:rPr>
          <w:rFonts w:hint="eastAsia"/>
        </w:rPr>
        <w:t>大同玉</w:t>
      </w:r>
      <w:r>
        <w:t>内部的天然内含物和缺陷。</w:t>
      </w:r>
    </w:p>
    <w:p>
      <w:pPr>
        <w:pStyle w:val="4"/>
      </w:pPr>
      <w:bookmarkStart w:id="51" w:name="_Toc24134"/>
      <w:r>
        <w:rPr>
          <w:rFonts w:hint="eastAsia"/>
        </w:rPr>
        <w:t>3.6.3 大同玉的外部特征 External characteristics</w:t>
      </w:r>
      <w:bookmarkEnd w:id="51"/>
    </w:p>
    <w:p>
      <w:pPr>
        <w:ind w:firstLine="420"/>
      </w:pPr>
      <w:r>
        <w:t>存在于</w:t>
      </w:r>
      <w:r>
        <w:rPr>
          <w:rFonts w:hint="eastAsia"/>
        </w:rPr>
        <w:t>大同玉</w:t>
      </w:r>
      <w:r>
        <w:t>外表的天然内含物和缺陷。</w:t>
      </w:r>
    </w:p>
    <w:p>
      <w:pPr>
        <w:pStyle w:val="3"/>
      </w:pPr>
      <w:bookmarkStart w:id="52" w:name="_Toc9556"/>
      <w:r>
        <w:rPr>
          <w:rFonts w:hint="eastAsia"/>
        </w:rPr>
        <w:t>3</w:t>
      </w:r>
      <w:r>
        <w:t xml:space="preserve">.7 </w:t>
      </w:r>
      <w:r>
        <w:rPr>
          <w:rFonts w:hint="eastAsia"/>
        </w:rPr>
        <w:t>工艺评价 Arts and crafts appraisal</w:t>
      </w:r>
      <w:bookmarkEnd w:id="52"/>
    </w:p>
    <w:p>
      <w:pPr>
        <w:ind w:firstLine="420"/>
      </w:pPr>
      <w:r>
        <w:rPr>
          <w:rFonts w:hint="eastAsia"/>
        </w:rPr>
        <w:t>对大同玉饰品的材料应用设计及加工工艺进行评价。 </w:t>
      </w:r>
    </w:p>
    <w:p>
      <w:pPr>
        <w:pStyle w:val="3"/>
      </w:pPr>
      <w:bookmarkStart w:id="53" w:name="_Toc31019"/>
      <w:r>
        <w:rPr>
          <w:rFonts w:hint="eastAsia"/>
        </w:rPr>
        <w:t>3</w:t>
      </w:r>
      <w:r>
        <w:t xml:space="preserve">.8 </w:t>
      </w:r>
      <w:r>
        <w:rPr>
          <w:rFonts w:hint="eastAsia"/>
        </w:rPr>
        <w:t>分级光源 Jadeite light</w:t>
      </w:r>
      <w:bookmarkEnd w:id="53"/>
    </w:p>
    <w:p>
      <w:pPr>
        <w:ind w:firstLine="420"/>
      </w:pPr>
      <w:r>
        <w:rPr>
          <w:rFonts w:hint="eastAsia"/>
        </w:rPr>
        <w:t>大同玉分级时的照明光源，色温为4500K~5500K，显色指数不低于90。</w:t>
      </w:r>
    </w:p>
    <w:p>
      <w:pPr>
        <w:pStyle w:val="2"/>
      </w:pPr>
      <w:bookmarkStart w:id="54" w:name="_Toc664"/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大同玉分级</w:t>
      </w:r>
      <w:bookmarkEnd w:id="54"/>
    </w:p>
    <w:p>
      <w:pPr>
        <w:pStyle w:val="2"/>
      </w:pPr>
      <w:bookmarkStart w:id="55" w:name="_Toc6058"/>
      <w:r>
        <w:rPr>
          <w:rFonts w:hint="eastAsia"/>
        </w:rPr>
        <w:t>4.1 大同玉颜色分级</w:t>
      </w:r>
      <w:bookmarkEnd w:id="55"/>
    </w:p>
    <w:p>
      <w:pPr>
        <w:ind w:firstLine="420"/>
      </w:pPr>
      <w:r>
        <w:t>按</w:t>
      </w:r>
      <w:r>
        <w:rPr>
          <w:rFonts w:hint="eastAsia"/>
        </w:rPr>
        <w:t>大同玉</w:t>
      </w:r>
      <w:r>
        <w:t>颜色色调（hue）、彩度（chroma）明度（value）的差异进行级别划分。</w:t>
      </w:r>
    </w:p>
    <w:p>
      <w:pPr>
        <w:ind w:firstLine="420"/>
      </w:pPr>
      <w:r>
        <w:rPr>
          <w:rFonts w:hint="eastAsia"/>
        </w:rPr>
        <w:t>根据大同玉色调的差异，将其划分为紫色和其他色调。</w:t>
      </w:r>
    </w:p>
    <w:p>
      <w:pPr>
        <w:ind w:firstLine="420"/>
      </w:pPr>
    </w:p>
    <w:p>
      <w:pPr>
        <w:pStyle w:val="4"/>
      </w:pPr>
      <w:bookmarkStart w:id="56" w:name="_Toc17368"/>
      <w:r>
        <w:rPr>
          <w:rFonts w:hint="eastAsia"/>
        </w:rPr>
        <w:t>4.1.1 色调</w:t>
      </w:r>
      <w:bookmarkEnd w:id="56"/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4.1.1.1 </w:t>
      </w:r>
      <w:r>
        <w:rPr>
          <w:rFonts w:ascii="黑体" w:hAnsi="黑体" w:eastAsia="黑体"/>
        </w:rPr>
        <w:t>色调类别</w:t>
      </w:r>
    </w:p>
    <w:p>
      <w:pPr>
        <w:ind w:firstLine="420"/>
      </w:pPr>
      <w:r>
        <w:rPr>
          <w:rFonts w:hint="eastAsia"/>
        </w:rPr>
        <w:t>根据大同玉（紫色）色调的差异，将其划分为紫、紫（微红）、紫（微蓝）三个类别。色调类别依次表示为P、rP、bP。色调类别及表示方法见表1。</w:t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表1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大同玉（紫色）色调类别及表示方法</w:t>
      </w:r>
    </w:p>
    <w:tbl>
      <w:tblPr>
        <w:tblStyle w:val="12"/>
        <w:tblpPr w:leftFromText="180" w:rightFromText="180" w:vertAnchor="text" w:horzAnchor="page" w:tblpX="1871" w:tblpY="3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45"/>
        <w:gridCol w:w="464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色调类别</w:t>
            </w:r>
          </w:p>
        </w:tc>
        <w:tc>
          <w:tcPr>
            <w:tcW w:w="4647" w:type="dxa"/>
          </w:tcPr>
          <w:p>
            <w:pPr>
              <w:jc w:val="center"/>
            </w:pPr>
            <w:r>
              <w:rPr>
                <w:rFonts w:hint="eastAsia"/>
              </w:rPr>
              <w:t>肉眼观测特征</w:t>
            </w:r>
          </w:p>
        </w:tc>
        <w:tc>
          <w:tcPr>
            <w:tcW w:w="2035" w:type="dxa"/>
          </w:tcPr>
          <w:p>
            <w:pPr>
              <w:jc w:val="center"/>
            </w:pPr>
            <w:r>
              <w:rPr>
                <w:rFonts w:hint="eastAsia"/>
                <w:highlight w:val="none"/>
              </w:rPr>
              <w:t>色卡参考页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样品主体颜色为纯正的紫色，或紫色中带有轻微的、稍可觉察的红、蓝色调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紫（微红）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rP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样品主体颜色为紫色，带有较易察觉的红色色调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紫（微蓝）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bP</w:t>
            </w:r>
          </w:p>
        </w:tc>
        <w:tc>
          <w:tcPr>
            <w:tcW w:w="4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样品主体颜色为紫色，带有较易察觉的蓝色色调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r>
              <w:rPr>
                <w:rFonts w:hint="eastAsia"/>
              </w:rPr>
              <w:t>注：对应色卡</w:t>
            </w:r>
            <w:r>
              <w:rPr>
                <w:rFonts w:hint="eastAsia"/>
                <w:highlight w:val="none"/>
              </w:rPr>
              <w:t>见附录A。</w:t>
            </w:r>
          </w:p>
        </w:tc>
      </w:tr>
    </w:tbl>
    <w:p/>
    <w:p/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4.1.1.2色调类别划分规则</w:t>
      </w:r>
    </w:p>
    <w:p>
      <w:r>
        <w:rPr>
          <w:rFonts w:hint="eastAsia" w:ascii="黑体" w:hAnsi="黑体" w:eastAsia="黑体"/>
        </w:rPr>
        <w:t xml:space="preserve">4.1.1.2.1 </w:t>
      </w:r>
      <w:r>
        <w:rPr>
          <w:rFonts w:hint="eastAsia"/>
        </w:rPr>
        <w:t>待分级大同玉（紫色）的色调偏红或偏蓝程度低于对应色卡页，则用“紫”表示待分级大同玉（紫色）的色调类别。</w:t>
      </w:r>
    </w:p>
    <w:p>
      <w:r>
        <w:rPr>
          <w:rFonts w:hint="eastAsia" w:ascii="黑体" w:hAnsi="黑体" w:eastAsia="黑体"/>
        </w:rPr>
        <w:t>4.1.1.2.2</w:t>
      </w:r>
      <w:r>
        <w:rPr>
          <w:rFonts w:hint="eastAsia"/>
        </w:rPr>
        <w:t xml:space="preserve"> 待分级大同玉（紫色）的色调偏红或偏蓝程度等于或高于对应色卡页，则用“紫（微红）”或“紫（微蓝）”表示待分级大同玉（紫色）的色调类别。</w:t>
      </w:r>
    </w:p>
    <w:p>
      <w:pPr>
        <w:pStyle w:val="4"/>
      </w:pPr>
      <w:bookmarkStart w:id="57" w:name="_Toc16081"/>
      <w:r>
        <w:rPr>
          <w:rFonts w:hint="eastAsia"/>
        </w:rPr>
        <w:t>4.1.2 彩度</w:t>
      </w:r>
      <w:bookmarkEnd w:id="57"/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4.1.2.1 彩度级别</w:t>
      </w:r>
    </w:p>
    <w:p>
      <w:pPr>
        <w:ind w:firstLine="420"/>
      </w:pPr>
      <w:r>
        <w:rPr>
          <w:rFonts w:hint="eastAsia"/>
        </w:rPr>
        <w:t>根据大同玉（紫色）彩度的差异，将其划分为四个级别。彩度级别由高到低依次表示为浓（Ch1）、艳（Ch2）、中（Ch3）、浅（Ch4）。彩度级别及表示方法见表2。</w:t>
      </w:r>
    </w:p>
    <w:p/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表2</w:t>
      </w:r>
      <w:r>
        <w:rPr>
          <w:rFonts w:ascii="黑体" w:hAnsi="黑体" w:eastAsia="黑体"/>
        </w:rPr>
        <w:t xml:space="preserve"> </w:t>
      </w:r>
      <w:r>
        <w:rPr>
          <w:rFonts w:hint="eastAsia" w:ascii="黑体" w:hAnsi="黑体" w:eastAsia="黑体"/>
        </w:rPr>
        <w:t>大同玉（紫色）</w:t>
      </w:r>
      <w:r>
        <w:rPr>
          <w:rFonts w:ascii="黑体" w:hAnsi="黑体" w:eastAsia="黑体"/>
        </w:rPr>
        <w:t>彩度级别及表示方法</w:t>
      </w:r>
    </w:p>
    <w:tbl>
      <w:tblPr>
        <w:tblStyle w:val="12"/>
        <w:tblW w:w="6799" w:type="dxa"/>
        <w:tblInd w:w="7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677"/>
        <w:gridCol w:w="38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71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彩度级别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肉眼观测特征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色卡彩度参考值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</w:pPr>
            <w:r>
              <w:rPr>
                <w:rFonts w:hint="eastAsia"/>
              </w:rPr>
              <w:t>浓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</w:rPr>
              <w:t>Ch1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颜色浓郁、饱满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C≥80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</w:pPr>
            <w:r>
              <w:rPr>
                <w:rFonts w:hint="eastAsia"/>
              </w:rPr>
              <w:t>艳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</w:rPr>
              <w:t>Ch2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颜色较浓艳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60≤C＜80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</w:rPr>
              <w:t>Ch3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颜色浓淡适中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30≤C＜60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jc w:val="center"/>
            </w:pPr>
            <w:r>
              <w:rPr>
                <w:rFonts w:hint="eastAsia"/>
              </w:rPr>
              <w:t>浅</w:t>
            </w:r>
          </w:p>
        </w:tc>
        <w:tc>
          <w:tcPr>
            <w:tcW w:w="677" w:type="dxa"/>
          </w:tcPr>
          <w:p>
            <w:pPr>
              <w:jc w:val="center"/>
            </w:pPr>
            <w:r>
              <w:rPr>
                <w:rFonts w:hint="eastAsia"/>
              </w:rPr>
              <w:t>Ch4</w:t>
            </w:r>
          </w:p>
        </w:tc>
        <w:tc>
          <w:tcPr>
            <w:tcW w:w="3827" w:type="dxa"/>
          </w:tcPr>
          <w:p>
            <w:pPr>
              <w:jc w:val="center"/>
            </w:pPr>
            <w:r>
              <w:rPr>
                <w:rFonts w:hint="eastAsia"/>
              </w:rPr>
              <w:t>颜色浅淡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10≤C＜30</w:t>
            </w:r>
          </w:p>
        </w:tc>
      </w:tr>
    </w:tbl>
    <w:p>
      <w:bookmarkStart w:id="58" w:name="_Toc36716701"/>
      <w:bookmarkStart w:id="59" w:name="_Toc36716541"/>
      <w:bookmarkStart w:id="60" w:name="_Toc36717292"/>
      <w:bookmarkStart w:id="61" w:name="_Toc36716585"/>
    </w:p>
    <w:p>
      <w:r>
        <w:rPr>
          <w:rFonts w:hint="eastAsia"/>
        </w:rPr>
        <w:t>描述方法：采用彩度+色调的方式对大同玉（紫色）颜色进行描述，如：色调为紫红，彩度为浓红，其颜色描述为浓紫红。</w:t>
      </w:r>
    </w:p>
    <w:p>
      <w:pPr>
        <w:pStyle w:val="4"/>
      </w:pPr>
      <w:bookmarkStart w:id="62" w:name="_Toc19023"/>
      <w:r>
        <w:rPr>
          <w:rFonts w:hint="eastAsia"/>
        </w:rPr>
        <w:t>4.1.3</w:t>
      </w:r>
      <w:r>
        <w:rPr>
          <w:rFonts w:ascii="Calibri" w:hAnsi="Calibri" w:cs="Calibri"/>
        </w:rPr>
        <w:t> </w:t>
      </w:r>
      <w:r>
        <w:rPr>
          <w:rFonts w:hint="eastAsia"/>
        </w:rPr>
        <w:t>明度</w:t>
      </w:r>
      <w:bookmarkEnd w:id="62"/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4.1.3.1 明度级别</w:t>
      </w:r>
    </w:p>
    <w:p>
      <w:pPr>
        <w:ind w:firstLine="420"/>
      </w:pPr>
      <w:r>
        <w:rPr>
          <w:rFonts w:hint="eastAsia"/>
        </w:rPr>
        <w:t>根据大同玉（紫色）明度的差异，将其划分为四个级别。明度级别由高到低依次表示为明亮（V1）、较明亮（V2）、较暗（V3）、暗（V4）。明度级别及表示方法见表3。</w:t>
      </w:r>
    </w:p>
    <w:p>
      <w:pPr>
        <w:ind w:firstLine="420"/>
      </w:pP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表3 大同玉（紫色）明度级别及表示方法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540"/>
        <w:gridCol w:w="4225"/>
        <w:gridCol w:w="2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5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明度级别</w:t>
            </w:r>
          </w:p>
        </w:tc>
        <w:tc>
          <w:tcPr>
            <w:tcW w:w="4225" w:type="dxa"/>
          </w:tcPr>
          <w:p>
            <w:pPr>
              <w:jc w:val="center"/>
            </w:pPr>
            <w:r>
              <w:rPr>
                <w:rFonts w:hint="eastAsia"/>
              </w:rPr>
              <w:t>肉眼观测特征</w:t>
            </w:r>
          </w:p>
        </w:tc>
        <w:tc>
          <w:tcPr>
            <w:tcW w:w="2642" w:type="dxa"/>
          </w:tcPr>
          <w:p>
            <w:pPr>
              <w:jc w:val="center"/>
            </w:pPr>
            <w:r>
              <w:rPr>
                <w:rFonts w:hint="eastAsia"/>
              </w:rPr>
              <w:t>色卡灰度标尺参考值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center"/>
            </w:pPr>
            <w:r>
              <w:rPr>
                <w:rFonts w:hint="eastAsia"/>
              </w:rPr>
              <w:t>明亮</w:t>
            </w:r>
          </w:p>
        </w:tc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</w:rPr>
              <w:t>V1</w:t>
            </w:r>
          </w:p>
        </w:tc>
        <w:tc>
          <w:tcPr>
            <w:tcW w:w="4225" w:type="dxa"/>
          </w:tcPr>
          <w:p>
            <w:pPr>
              <w:jc w:val="center"/>
            </w:pPr>
            <w:r>
              <w:rPr>
                <w:rFonts w:hint="eastAsia"/>
              </w:rPr>
              <w:t>样品颜色鲜艳明亮，基本察觉不到灰度</w:t>
            </w:r>
          </w:p>
        </w:tc>
        <w:tc>
          <w:tcPr>
            <w:tcW w:w="2642" w:type="dxa"/>
          </w:tcPr>
          <w:p>
            <w:pPr>
              <w:jc w:val="center"/>
            </w:pPr>
            <w:r>
              <w:rPr>
                <w:rFonts w:hint="eastAsia"/>
              </w:rPr>
              <w:t>G＜10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center"/>
            </w:pPr>
            <w:r>
              <w:rPr>
                <w:rFonts w:hint="eastAsia"/>
              </w:rPr>
              <w:t>较明亮</w:t>
            </w:r>
          </w:p>
        </w:tc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</w:rPr>
              <w:t>V2</w:t>
            </w:r>
          </w:p>
        </w:tc>
        <w:tc>
          <w:tcPr>
            <w:tcW w:w="4225" w:type="dxa"/>
          </w:tcPr>
          <w:p>
            <w:pPr>
              <w:jc w:val="center"/>
            </w:pPr>
            <w:r>
              <w:rPr>
                <w:rFonts w:hint="eastAsia"/>
              </w:rPr>
              <w:t>样品颜色较鲜艳明亮，能察觉到轻微的灰度</w:t>
            </w:r>
          </w:p>
        </w:tc>
        <w:tc>
          <w:tcPr>
            <w:tcW w:w="2642" w:type="dxa"/>
          </w:tcPr>
          <w:p>
            <w:pPr>
              <w:jc w:val="center"/>
            </w:pPr>
            <w:r>
              <w:rPr>
                <w:rFonts w:hint="eastAsia"/>
              </w:rPr>
              <w:t>10≤G＜30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center"/>
            </w:pPr>
            <w:r>
              <w:rPr>
                <w:rFonts w:hint="eastAsia"/>
              </w:rPr>
              <w:t>较暗</w:t>
            </w:r>
          </w:p>
        </w:tc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</w:rPr>
              <w:t>V3</w:t>
            </w:r>
          </w:p>
        </w:tc>
        <w:tc>
          <w:tcPr>
            <w:tcW w:w="4225" w:type="dxa"/>
          </w:tcPr>
          <w:p>
            <w:pPr>
              <w:jc w:val="center"/>
            </w:pPr>
            <w:r>
              <w:rPr>
                <w:rFonts w:hint="eastAsia"/>
              </w:rPr>
              <w:t>样品颜色较暗，能察觉到一定的灰度</w:t>
            </w:r>
          </w:p>
        </w:tc>
        <w:tc>
          <w:tcPr>
            <w:tcW w:w="2642" w:type="dxa"/>
          </w:tcPr>
          <w:p>
            <w:pPr>
              <w:jc w:val="center"/>
            </w:pPr>
            <w:r>
              <w:rPr>
                <w:rFonts w:hint="eastAsia"/>
              </w:rPr>
              <w:t>30≤G＜50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</w:tcPr>
          <w:p>
            <w:pPr>
              <w:jc w:val="center"/>
            </w:pPr>
            <w:r>
              <w:rPr>
                <w:rFonts w:hint="eastAsia"/>
              </w:rPr>
              <w:t>暗</w:t>
            </w:r>
          </w:p>
        </w:tc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</w:rPr>
              <w:t>V4</w:t>
            </w:r>
          </w:p>
        </w:tc>
        <w:tc>
          <w:tcPr>
            <w:tcW w:w="4225" w:type="dxa"/>
          </w:tcPr>
          <w:p>
            <w:pPr>
              <w:jc w:val="center"/>
            </w:pPr>
            <w:r>
              <w:rPr>
                <w:rFonts w:hint="eastAsia"/>
              </w:rPr>
              <w:t>样品颜色暗淡，能察觉到明显的灰度</w:t>
            </w:r>
          </w:p>
        </w:tc>
        <w:tc>
          <w:tcPr>
            <w:tcW w:w="2642" w:type="dxa"/>
          </w:tcPr>
          <w:p>
            <w:pPr>
              <w:jc w:val="center"/>
            </w:pPr>
            <w:r>
              <w:rPr>
                <w:rFonts w:hint="eastAsia"/>
              </w:rPr>
              <w:t>G≥50</w:t>
            </w:r>
          </w:p>
        </w:tc>
      </w:tr>
    </w:tbl>
    <w:p/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4.1.3.2 明度级别划分规则</w:t>
      </w:r>
    </w:p>
    <w:p>
      <w:r>
        <w:rPr>
          <w:rFonts w:hint="eastAsia" w:ascii="黑体" w:hAnsi="黑体" w:eastAsia="黑体"/>
        </w:rPr>
        <w:t>4</w:t>
      </w:r>
      <w:r>
        <w:rPr>
          <w:rFonts w:ascii="黑体" w:hAnsi="黑体" w:eastAsia="黑体"/>
        </w:rPr>
        <w:t xml:space="preserve">.1.3.2.1 </w:t>
      </w:r>
      <w:r>
        <w:t>待分级</w:t>
      </w:r>
      <w:r>
        <w:rPr>
          <w:rFonts w:hint="eastAsia"/>
        </w:rPr>
        <w:t>大同玉（紫色）</w:t>
      </w:r>
      <w:r>
        <w:t>进行明度级别划分前，应先确定其色调类别及彩度级别。</w:t>
      </w:r>
    </w:p>
    <w:p>
      <w:r>
        <w:rPr>
          <w:rFonts w:hint="eastAsia" w:ascii="黑体" w:hAnsi="黑体" w:eastAsia="黑体"/>
        </w:rPr>
        <w:t>4</w:t>
      </w:r>
      <w:r>
        <w:rPr>
          <w:rFonts w:ascii="黑体" w:hAnsi="黑体" w:eastAsia="黑体"/>
        </w:rPr>
        <w:t>.1.3.2.2</w:t>
      </w:r>
      <w:r>
        <w:t xml:space="preserve"> 确定</w:t>
      </w:r>
      <w:r>
        <w:rPr>
          <w:rFonts w:hint="eastAsia"/>
        </w:rPr>
        <w:t>待分级大同玉（紫色）</w:t>
      </w:r>
      <w:r>
        <w:t>色调类别及彩度级别</w:t>
      </w:r>
      <w:r>
        <w:rPr>
          <w:rFonts w:hint="eastAsia"/>
        </w:rPr>
        <w:t>后</w:t>
      </w:r>
      <w:r>
        <w:t>，叠加灰度标尺得出待分级</w:t>
      </w:r>
      <w:r>
        <w:rPr>
          <w:rFonts w:hint="eastAsia"/>
        </w:rPr>
        <w:t>大同玉</w:t>
      </w:r>
      <w:r>
        <w:t>颜色灰度数值，确定待分级</w:t>
      </w:r>
      <w:r>
        <w:rPr>
          <w:rFonts w:hint="eastAsia"/>
        </w:rPr>
        <w:t>大同玉（紫色）</w:t>
      </w:r>
      <w:r>
        <w:t>的颜色明度级别。</w:t>
      </w:r>
    </w:p>
    <w:p/>
    <w:p>
      <w:pPr>
        <w:pStyle w:val="4"/>
      </w:pPr>
      <w:bookmarkStart w:id="63" w:name="_Toc453"/>
      <w:r>
        <w:rPr>
          <w:rFonts w:hint="eastAsia"/>
        </w:rPr>
        <w:t>4.1.4 大同玉其他色调颜色分级</w:t>
      </w:r>
      <w:bookmarkEnd w:id="63"/>
    </w:p>
    <w:p>
      <w:pPr>
        <w:ind w:firstLine="420" w:firstLineChars="200"/>
      </w:pPr>
      <w:r>
        <w:rPr>
          <w:rFonts w:hint="eastAsia"/>
        </w:rPr>
        <w:t>参照大同玉（紫色）颜色分级。</w:t>
      </w:r>
    </w:p>
    <w:p/>
    <w:p>
      <w:pPr>
        <w:pStyle w:val="3"/>
      </w:pPr>
      <w:bookmarkStart w:id="64" w:name="_Toc8190"/>
      <w:r>
        <w:rPr>
          <w:rFonts w:hint="eastAsia"/>
        </w:rPr>
        <w:t>4</w:t>
      </w:r>
      <w:r>
        <w:t xml:space="preserve">.2 </w:t>
      </w:r>
      <w:r>
        <w:rPr>
          <w:rFonts w:hint="eastAsia"/>
        </w:rPr>
        <w:t>大同玉透明度分级</w:t>
      </w:r>
      <w:bookmarkEnd w:id="64"/>
    </w:p>
    <w:p>
      <w:pPr>
        <w:pStyle w:val="4"/>
      </w:pPr>
      <w:bookmarkStart w:id="65" w:name="_Toc16435"/>
      <w:r>
        <w:rPr>
          <w:rFonts w:hint="eastAsia"/>
        </w:rPr>
        <w:t>4</w:t>
      </w:r>
      <w:r>
        <w:t>.2.1</w:t>
      </w:r>
      <w:r>
        <w:rPr>
          <w:rFonts w:ascii="Calibri" w:hAnsi="Calibri" w:cs="Calibri"/>
        </w:rPr>
        <w:t> </w:t>
      </w:r>
      <w:r>
        <w:rPr>
          <w:rFonts w:hint="eastAsia"/>
        </w:rPr>
        <w:t>透明度级别</w:t>
      </w:r>
      <w:bookmarkEnd w:id="65"/>
    </w:p>
    <w:p>
      <w:pPr>
        <w:ind w:firstLine="420" w:firstLineChars="200"/>
      </w:pPr>
      <w:r>
        <w:t>根据</w:t>
      </w:r>
      <w:r>
        <w:rPr>
          <w:rFonts w:hint="eastAsia"/>
        </w:rPr>
        <w:t>大同玉</w:t>
      </w:r>
      <w:r>
        <w:t>透明度的差异，将其划分为四个级别。透明度级别由高到低依次表示为透明（T1）、亚透明（T2）、半透明（T3）、微透明~不透明（T4）。透明度级别及表示方法见表</w:t>
      </w:r>
      <w:r>
        <w:rPr>
          <w:rFonts w:hint="eastAsia"/>
        </w:rPr>
        <w:t>4</w:t>
      </w:r>
      <w:r>
        <w:t>。</w:t>
      </w:r>
    </w:p>
    <w:p/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表4 大同玉透明度级别及表示方法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67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透明度级别</w:t>
            </w:r>
          </w:p>
        </w:tc>
        <w:tc>
          <w:tcPr>
            <w:tcW w:w="6096" w:type="dxa"/>
          </w:tcPr>
          <w:p>
            <w:pPr>
              <w:jc w:val="center"/>
            </w:pPr>
            <w:r>
              <w:rPr>
                <w:rFonts w:hint="eastAsia"/>
              </w:rPr>
              <w:t>肉眼观测特征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透明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T1</w:t>
            </w:r>
          </w:p>
        </w:tc>
        <w:tc>
          <w:tcPr>
            <w:tcW w:w="6096" w:type="dxa"/>
          </w:tcPr>
          <w:p>
            <w:r>
              <w:rPr>
                <w:rFonts w:hint="eastAsia"/>
              </w:rPr>
              <w:t>反射观察：内部汇聚光较强</w:t>
            </w:r>
          </w:p>
          <w:p>
            <w:r>
              <w:rPr>
                <w:rFonts w:hint="eastAsia"/>
              </w:rPr>
              <w:t>透射观察：大多数光线可透过样品，样品内部特征可见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亚透明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T2</w:t>
            </w:r>
          </w:p>
        </w:tc>
        <w:tc>
          <w:tcPr>
            <w:tcW w:w="6096" w:type="dxa"/>
          </w:tcPr>
          <w:p>
            <w:r>
              <w:rPr>
                <w:rFonts w:hint="eastAsia"/>
              </w:rPr>
              <w:t>反射观察：内部汇聚光弱</w:t>
            </w:r>
          </w:p>
          <w:p>
            <w:r>
              <w:rPr>
                <w:rFonts w:hint="eastAsia"/>
              </w:rPr>
              <w:t>透射观察：部分光线可透过样品，样品内部特征尚可见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半透明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T3</w:t>
            </w:r>
          </w:p>
        </w:tc>
        <w:tc>
          <w:tcPr>
            <w:tcW w:w="6096" w:type="dxa"/>
          </w:tcPr>
          <w:p>
            <w:r>
              <w:rPr>
                <w:rFonts w:hint="eastAsia"/>
              </w:rPr>
              <w:t>反射观察：内部无汇聚光，仅可见少量光线透入</w:t>
            </w:r>
          </w:p>
          <w:p>
            <w:r>
              <w:rPr>
                <w:rFonts w:hint="eastAsia"/>
              </w:rPr>
              <w:t>透射观察：少量光线可透过样品，样品内部特征模糊不可辨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ind w:leftChars="-1" w:hanging="2" w:hangingChars="1"/>
              <w:jc w:val="center"/>
            </w:pPr>
            <w:r>
              <w:rPr>
                <w:rFonts w:hint="eastAsia"/>
              </w:rPr>
              <w:t>微透明~不透明</w:t>
            </w:r>
          </w:p>
        </w:tc>
        <w:tc>
          <w:tcPr>
            <w:tcW w:w="567" w:type="dxa"/>
            <w:vAlign w:val="center"/>
          </w:tcPr>
          <w:p>
            <w:pPr>
              <w:ind w:leftChars="-1" w:hanging="2" w:hangingChars="1"/>
              <w:jc w:val="center"/>
            </w:pPr>
            <w:r>
              <w:rPr>
                <w:rFonts w:hint="eastAsia"/>
              </w:rPr>
              <w:t>T4</w:t>
            </w:r>
          </w:p>
        </w:tc>
        <w:tc>
          <w:tcPr>
            <w:tcW w:w="6096" w:type="dxa"/>
          </w:tcPr>
          <w:p>
            <w:pPr>
              <w:ind w:leftChars="-1" w:hanging="2" w:hangingChars="1"/>
            </w:pPr>
            <w:r>
              <w:rPr>
                <w:rFonts w:hint="eastAsia"/>
              </w:rPr>
              <w:t>反射观察：内部无汇聚光，难见光线透入</w:t>
            </w:r>
          </w:p>
          <w:p>
            <w:pPr>
              <w:ind w:leftChars="-1" w:hanging="2" w:hangingChars="1"/>
            </w:pPr>
            <w:r>
              <w:rPr>
                <w:rFonts w:hint="eastAsia"/>
              </w:rPr>
              <w:t>透射观察：微量~无光线可透过样品，样品内部特征不可见</w:t>
            </w:r>
          </w:p>
        </w:tc>
      </w:tr>
    </w:tbl>
    <w:p/>
    <w:p>
      <w:pPr>
        <w:pStyle w:val="3"/>
      </w:pPr>
      <w:bookmarkStart w:id="66" w:name="_Toc21731"/>
      <w:r>
        <w:rPr>
          <w:rFonts w:hint="eastAsia"/>
        </w:rPr>
        <w:t>4</w:t>
      </w:r>
      <w:r>
        <w:t xml:space="preserve">.3 </w:t>
      </w:r>
      <w:r>
        <w:rPr>
          <w:rFonts w:hint="eastAsia"/>
        </w:rPr>
        <w:t>大同玉质地分级</w:t>
      </w:r>
      <w:bookmarkEnd w:id="66"/>
    </w:p>
    <w:p>
      <w:pPr>
        <w:ind w:firstLine="420"/>
      </w:pPr>
      <w:r>
        <w:t>根据</w:t>
      </w:r>
      <w:r>
        <w:rPr>
          <w:rFonts w:hint="eastAsia"/>
        </w:rPr>
        <w:t>大同玉</w:t>
      </w:r>
      <w:r>
        <w:t>质地的差异，将其划分为</w:t>
      </w:r>
      <w:r>
        <w:rPr>
          <w:rFonts w:hint="eastAsia"/>
        </w:rPr>
        <w:t>三</w:t>
      </w:r>
      <w:r>
        <w:t>个级别。质地级别由高到低依次表示为</w:t>
      </w:r>
      <w:r>
        <w:rPr>
          <w:rFonts w:hint="eastAsia"/>
        </w:rPr>
        <w:t>极</w:t>
      </w:r>
      <w:r>
        <w:t>细（Te1）、细（Te2）、较</w:t>
      </w:r>
      <w:r>
        <w:rPr>
          <w:rFonts w:hint="eastAsia"/>
        </w:rPr>
        <w:t>细</w:t>
      </w:r>
      <w:r>
        <w:t>（Te3）</w:t>
      </w:r>
      <w:r>
        <w:rPr>
          <w:rFonts w:hint="eastAsia"/>
        </w:rPr>
        <w:t>、较粗（</w:t>
      </w:r>
      <w:r>
        <w:t>Te4</w:t>
      </w:r>
      <w:r>
        <w:rPr>
          <w:rFonts w:hint="eastAsia"/>
        </w:rPr>
        <w:t>），</w:t>
      </w:r>
      <w:r>
        <w:t>质地级别及表示方法见表</w:t>
      </w:r>
      <w:r>
        <w:rPr>
          <w:rFonts w:hint="eastAsia"/>
        </w:rPr>
        <w:t>5</w:t>
      </w:r>
      <w:r>
        <w:t>。</w:t>
      </w:r>
    </w:p>
    <w:p/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表5大同玉质地级别及表示方法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80"/>
        <w:gridCol w:w="520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质地级别</w:t>
            </w:r>
          </w:p>
        </w:tc>
        <w:tc>
          <w:tcPr>
            <w:tcW w:w="52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肉眼观测特征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颗粒粒径d/mm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极细</w:t>
            </w:r>
          </w:p>
        </w:tc>
        <w:tc>
          <w:tcPr>
            <w:tcW w:w="580" w:type="dxa"/>
          </w:tcPr>
          <w:p>
            <w:r>
              <w:rPr>
                <w:rFonts w:hint="eastAsia"/>
              </w:rPr>
              <w:t>Te</w:t>
            </w:r>
            <w:r>
              <w:t>1</w:t>
            </w:r>
          </w:p>
        </w:tc>
        <w:tc>
          <w:tcPr>
            <w:tcW w:w="5208" w:type="dxa"/>
          </w:tcPr>
          <w:p>
            <w:r>
              <w:rPr>
                <w:rFonts w:hint="eastAsia"/>
              </w:rPr>
              <w:t>质地非常细腻致密，10倍放大镜下难见矿物颗粒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d＜0.1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细</w:t>
            </w:r>
          </w:p>
        </w:tc>
        <w:tc>
          <w:tcPr>
            <w:tcW w:w="580" w:type="dxa"/>
          </w:tcPr>
          <w:p>
            <w:r>
              <w:rPr>
                <w:rFonts w:hint="eastAsia"/>
              </w:rPr>
              <w:t>Te</w:t>
            </w:r>
            <w:r>
              <w:t>2</w:t>
            </w:r>
          </w:p>
        </w:tc>
        <w:tc>
          <w:tcPr>
            <w:tcW w:w="5208" w:type="dxa"/>
          </w:tcPr>
          <w:p>
            <w:r>
              <w:rPr>
                <w:rFonts w:hint="eastAsia"/>
              </w:rPr>
              <w:t>质地细腻致密，10倍放大镜下可见但肉眼难见矿物颗粒，粒径大小均匀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</w:rPr>
              <w:t>≤d＜0</w:t>
            </w:r>
            <w: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较细</w:t>
            </w:r>
          </w:p>
        </w:tc>
        <w:tc>
          <w:tcPr>
            <w:tcW w:w="580" w:type="dxa"/>
          </w:tcPr>
          <w:p>
            <w:r>
              <w:rPr>
                <w:rFonts w:hint="eastAsia"/>
              </w:rPr>
              <w:t>Te</w:t>
            </w:r>
            <w:r>
              <w:t>3</w:t>
            </w:r>
          </w:p>
        </w:tc>
        <w:tc>
          <w:tcPr>
            <w:tcW w:w="5208" w:type="dxa"/>
          </w:tcPr>
          <w:p>
            <w:r>
              <w:rPr>
                <w:rFonts w:hint="eastAsia"/>
              </w:rPr>
              <w:t>质地致密，肉眼可见矿物颗粒，局部矿物结晶稍粗，粒径大小较均匀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0.5≤d＜1.0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较粗</w:t>
            </w:r>
          </w:p>
        </w:tc>
        <w:tc>
          <w:tcPr>
            <w:tcW w:w="580" w:type="dxa"/>
          </w:tcPr>
          <w:p>
            <w:bookmarkStart w:id="67" w:name="_Hlk85461365"/>
            <w:r>
              <w:rPr>
                <w:rFonts w:hint="eastAsia"/>
              </w:rPr>
              <w:t>Te</w:t>
            </w:r>
            <w:r>
              <w:t>4</w:t>
            </w:r>
            <w:bookmarkEnd w:id="67"/>
          </w:p>
        </w:tc>
        <w:tc>
          <w:tcPr>
            <w:tcW w:w="5208" w:type="dxa"/>
          </w:tcPr>
          <w:p>
            <w:r>
              <w:rPr>
                <w:rFonts w:hint="eastAsia"/>
              </w:rPr>
              <w:t>质地较致密，肉眼可见矿物颗粒，粒径大小不均匀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1.0≤d＜2.0</w:t>
            </w:r>
          </w:p>
        </w:tc>
      </w:tr>
    </w:tbl>
    <w:p/>
    <w:p/>
    <w:p>
      <w:pPr>
        <w:pStyle w:val="3"/>
      </w:pPr>
      <w:bookmarkStart w:id="68" w:name="_Toc17689"/>
      <w:r>
        <w:rPr>
          <w:rFonts w:hint="eastAsia"/>
        </w:rPr>
        <w:t>4</w:t>
      </w:r>
      <w:r>
        <w:t xml:space="preserve">.4 </w:t>
      </w:r>
      <w:r>
        <w:rPr>
          <w:rFonts w:hint="eastAsia"/>
        </w:rPr>
        <w:t>大同玉净度分级</w:t>
      </w:r>
      <w:bookmarkEnd w:id="68"/>
    </w:p>
    <w:p>
      <w:pPr>
        <w:ind w:firstLine="420"/>
      </w:pPr>
      <w:r>
        <w:t>根据</w:t>
      </w:r>
      <w:r>
        <w:rPr>
          <w:rFonts w:hint="eastAsia"/>
        </w:rPr>
        <w:t>大同玉</w:t>
      </w:r>
      <w:r>
        <w:t>净度的差异，将其划分为</w:t>
      </w:r>
      <w:r>
        <w:rPr>
          <w:rFonts w:hint="eastAsia"/>
        </w:rPr>
        <w:t>四</w:t>
      </w:r>
      <w:r>
        <w:t>个级别。净度级别由高到低依次表示为极纯净（C1）、纯净（C2）、尚纯净（C3）、不纯净（C4）。净度级别及表示方法见表</w:t>
      </w:r>
      <w:r>
        <w:rPr>
          <w:rFonts w:hint="eastAsia"/>
        </w:rPr>
        <w:t>6</w:t>
      </w:r>
      <w:r>
        <w:t>。</w:t>
      </w:r>
    </w:p>
    <w:p>
      <w:pPr>
        <w:tabs>
          <w:tab w:val="left" w:pos="3227"/>
        </w:tabs>
      </w:pPr>
      <w:r>
        <w:tab/>
      </w:r>
    </w:p>
    <w:p>
      <w:pPr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表6大同玉净度级别及表示方法</w:t>
      </w:r>
    </w:p>
    <w:tbl>
      <w:tblPr>
        <w:tblStyle w:val="12"/>
        <w:tblpPr w:leftFromText="180" w:rightFromText="180" w:vertAnchor="text" w:horzAnchor="margin" w:tblpY="96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637"/>
        <w:gridCol w:w="4839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净度级别</w:t>
            </w:r>
          </w:p>
        </w:tc>
        <w:tc>
          <w:tcPr>
            <w:tcW w:w="48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肉眼观测特征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典型内、外部特征类型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极纯净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4839" w:type="dxa"/>
          </w:tcPr>
          <w:p>
            <w:r>
              <w:rPr>
                <w:rFonts w:hint="eastAsia"/>
              </w:rPr>
              <w:t>肉眼未见内外部特征，或仅在不显眼处有点状物、絮状物，对整体美观几乎无影响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点状物、絮状物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纯净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4839" w:type="dxa"/>
          </w:tcPr>
          <w:p>
            <w:r>
              <w:rPr>
                <w:rFonts w:hint="eastAsia"/>
              </w:rPr>
              <w:t>肉眼较难见内外部特征，或有细微的点状物、絮状物及纹理，对整体美观有轻微影响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点状物、絮状物、纹理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尚纯净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vertAlign w:val="subscript"/>
              </w:rPr>
              <w:t>3</w:t>
            </w:r>
          </w:p>
        </w:tc>
        <w:tc>
          <w:tcPr>
            <w:tcW w:w="4839" w:type="dxa"/>
          </w:tcPr>
          <w:p>
            <w:r>
              <w:rPr>
                <w:rFonts w:hint="eastAsia"/>
              </w:rPr>
              <w:t>肉眼可见内外部特征，具有较明显的条带，色块等，对整体美观有一定影响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条带，色块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不纯净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C</w:t>
            </w:r>
            <w:r>
              <w:rPr>
                <w:vertAlign w:val="subscript"/>
              </w:rPr>
              <w:t>4</w:t>
            </w:r>
          </w:p>
        </w:tc>
        <w:tc>
          <w:tcPr>
            <w:tcW w:w="4839" w:type="dxa"/>
          </w:tcPr>
          <w:p>
            <w:r>
              <w:rPr>
                <w:rFonts w:hint="eastAsia"/>
              </w:rPr>
              <w:t>肉眼明显可见内外部特征，分布有不均匀色块，绺、裂等，对整体美观和（或）耐久性有明显影响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不均匀色块，绺、裂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gridSpan w:val="4"/>
            <w:vAlign w:val="center"/>
          </w:tcPr>
          <w:p>
            <w:r>
              <w:rPr>
                <w:rFonts w:hint="eastAsia"/>
              </w:rPr>
              <w:t>大同玉常见的典型内、外部特征见附录B</w:t>
            </w:r>
          </w:p>
        </w:tc>
      </w:tr>
    </w:tbl>
    <w:p>
      <w:pPr>
        <w:tabs>
          <w:tab w:val="left" w:pos="810"/>
        </w:tabs>
      </w:pPr>
    </w:p>
    <w:p>
      <w:pPr>
        <w:pStyle w:val="2"/>
      </w:pPr>
      <w:bookmarkStart w:id="69" w:name="_Toc32532"/>
      <w:r>
        <w:rPr>
          <w:rFonts w:hint="eastAsia"/>
        </w:rPr>
        <w:t>4.5大同玉工艺评价</w:t>
      </w:r>
      <w:bookmarkEnd w:id="69"/>
    </w:p>
    <w:p>
      <w:pPr>
        <w:ind w:firstLine="420"/>
        <w:rPr>
          <w:rFonts w:hint="eastAsia"/>
        </w:rPr>
      </w:pPr>
      <w:r>
        <w:rPr>
          <w:rFonts w:hint="eastAsia"/>
        </w:rPr>
        <w:t>大同玉工艺评价包括选料用料的合理性、造型设计的完美性、雕琢制作工艺质量的优劣、配件的匹配性</w:t>
      </w:r>
      <w:r>
        <w:t>4</w:t>
      </w:r>
      <w:r>
        <w:rPr>
          <w:rFonts w:hint="eastAsia"/>
        </w:rPr>
        <w:t>个方面，应符合GB/T 36127-2018《玉雕制品工艺质量评价》的规定。 </w:t>
      </w:r>
    </w:p>
    <w:p>
      <w:pPr>
        <w:pStyle w:val="2"/>
      </w:pPr>
      <w:bookmarkStart w:id="70" w:name="_Toc12543"/>
      <w:r>
        <w:rPr>
          <w:rFonts w:hint="eastAsia"/>
        </w:rPr>
        <w:t>4.6大同玉</w:t>
      </w:r>
      <w:r>
        <w:t>不均匀性评价</w:t>
      </w:r>
      <w:bookmarkEnd w:id="70"/>
    </w:p>
    <w:p>
      <w:pPr>
        <w:ind w:firstLine="420"/>
      </w:pPr>
      <w:r>
        <w:t>若待分级</w:t>
      </w:r>
      <w:r>
        <w:rPr>
          <w:rFonts w:hint="eastAsia"/>
        </w:rPr>
        <w:t>大同玉</w:t>
      </w:r>
      <w:r>
        <w:t>的颜色、透明度、质地中的一个或多个因素不均匀，且不均匀程度不可忽视时，应对不均匀因素存在显著差异的部分分别进行评价</w:t>
      </w:r>
      <w:r>
        <w:rPr>
          <w:rFonts w:hint="eastAsia"/>
        </w:rPr>
        <w:t>。</w:t>
      </w:r>
    </w:p>
    <w:p/>
    <w:bookmarkEnd w:id="58"/>
    <w:bookmarkEnd w:id="59"/>
    <w:bookmarkEnd w:id="60"/>
    <w:bookmarkEnd w:id="61"/>
    <w:p>
      <w:pPr>
        <w:pStyle w:val="2"/>
      </w:pPr>
      <w:bookmarkStart w:id="71" w:name="_Toc15516"/>
      <w:r>
        <w:rPr>
          <w:rFonts w:hint="eastAsia"/>
        </w:rPr>
        <w:t>5 分级要求</w:t>
      </w:r>
      <w:bookmarkEnd w:id="71"/>
    </w:p>
    <w:p>
      <w:pPr>
        <w:pStyle w:val="3"/>
      </w:pPr>
      <w:bookmarkStart w:id="72" w:name="_Toc13019"/>
      <w:r>
        <w:rPr>
          <w:rFonts w:hint="eastAsia"/>
        </w:rPr>
        <w:t xml:space="preserve">5.1 </w:t>
      </w:r>
      <w:r>
        <w:t>环境要求</w:t>
      </w:r>
      <w:bookmarkEnd w:id="72"/>
    </w:p>
    <w:p>
      <w:pPr>
        <w:ind w:firstLine="420"/>
      </w:pPr>
      <w:bookmarkStart w:id="73" w:name="_Toc36716705"/>
      <w:bookmarkStart w:id="74" w:name="_Toc36716589"/>
      <w:bookmarkStart w:id="75" w:name="_Toc36716547"/>
      <w:bookmarkStart w:id="76" w:name="_Toc36717296"/>
      <w:r>
        <w:rPr>
          <w:rFonts w:hint="eastAsia"/>
        </w:rPr>
        <w:t>大同玉分级应在无阳光直接照射的室内进行，分级环境的色调应为白色或中性灰色。分级时采用规定的分级光源照明，并以无荧光、无明显定向反射作用的中性白（浅灰）色纸（板）作为观测背景。</w:t>
      </w:r>
      <w:bookmarkEnd w:id="73"/>
      <w:bookmarkEnd w:id="74"/>
      <w:bookmarkEnd w:id="75"/>
      <w:bookmarkEnd w:id="76"/>
    </w:p>
    <w:p>
      <w:pPr>
        <w:pStyle w:val="3"/>
      </w:pPr>
      <w:bookmarkStart w:id="77" w:name="_Toc19783"/>
      <w:r>
        <w:rPr>
          <w:rFonts w:hint="eastAsia"/>
        </w:rPr>
        <w:t>5.2 人员要求</w:t>
      </w:r>
      <w:bookmarkEnd w:id="77"/>
    </w:p>
    <w:p>
      <w:pPr>
        <w:ind w:firstLine="420"/>
      </w:pPr>
      <w:r>
        <w:rPr>
          <w:rFonts w:hint="eastAsia"/>
        </w:rPr>
        <w:t>从事大同玉分级的技术人员应受过专门的技能培训，掌握正确的操作方法。由2~3名技术人员独立完成同一样品的分级，并取得一致结果。</w:t>
      </w:r>
    </w:p>
    <w:p>
      <w:pPr>
        <w:pStyle w:val="2"/>
      </w:pPr>
      <w:bookmarkStart w:id="78" w:name="_Toc36716716"/>
      <w:bookmarkStart w:id="79" w:name="_Toc36716600"/>
      <w:bookmarkStart w:id="80" w:name="_Toc36717307"/>
      <w:bookmarkStart w:id="81" w:name="_Toc36716561"/>
      <w:bookmarkStart w:id="82" w:name="_Toc27959"/>
      <w:r>
        <w:rPr>
          <w:rFonts w:hint="eastAsia"/>
        </w:rPr>
        <w:t>6 质量</w:t>
      </w:r>
      <w:bookmarkEnd w:id="78"/>
      <w:bookmarkEnd w:id="79"/>
      <w:bookmarkEnd w:id="80"/>
      <w:bookmarkEnd w:id="81"/>
      <w:bookmarkEnd w:id="82"/>
    </w:p>
    <w:p>
      <w:pPr>
        <w:ind w:firstLine="420"/>
      </w:pPr>
      <w:r>
        <w:rPr>
          <w:rFonts w:hint="eastAsia"/>
        </w:rPr>
        <w:t>应符合 DB14/T2052-2020 的规定。</w:t>
      </w:r>
    </w:p>
    <w:p>
      <w:pPr>
        <w:pStyle w:val="2"/>
      </w:pPr>
      <w:bookmarkStart w:id="83" w:name="_Toc36717310"/>
      <w:bookmarkStart w:id="84" w:name="_Toc36716564"/>
      <w:bookmarkStart w:id="85" w:name="_Toc36716603"/>
      <w:bookmarkStart w:id="86" w:name="_Toc36716719"/>
      <w:bookmarkStart w:id="87" w:name="_Toc19391"/>
      <w:r>
        <w:rPr>
          <w:rFonts w:hint="eastAsia"/>
        </w:rPr>
        <w:t>7 大同玉分级证书</w:t>
      </w:r>
      <w:bookmarkEnd w:id="83"/>
      <w:bookmarkEnd w:id="84"/>
      <w:bookmarkEnd w:id="85"/>
      <w:bookmarkEnd w:id="86"/>
      <w:bookmarkEnd w:id="87"/>
    </w:p>
    <w:p>
      <w:pPr>
        <w:pStyle w:val="3"/>
      </w:pPr>
      <w:bookmarkStart w:id="88" w:name="_Toc36716565"/>
      <w:bookmarkStart w:id="89" w:name="_Toc36716604"/>
      <w:bookmarkStart w:id="90" w:name="_Toc36716720"/>
      <w:bookmarkStart w:id="91" w:name="_Toc36717311"/>
      <w:bookmarkStart w:id="92" w:name="_Toc4426"/>
      <w:r>
        <w:rPr>
          <w:rFonts w:hint="eastAsia"/>
        </w:rPr>
        <w:t>7.1 大同玉分级证书应包含但不限于以下内容</w:t>
      </w:r>
      <w:r>
        <w:t>：</w:t>
      </w:r>
      <w:bookmarkEnd w:id="88"/>
      <w:bookmarkEnd w:id="89"/>
      <w:bookmarkEnd w:id="90"/>
      <w:bookmarkEnd w:id="91"/>
      <w:bookmarkEnd w:id="92"/>
    </w:p>
    <w:p>
      <w:pPr>
        <w:ind w:left="420" w:leftChars="200"/>
      </w:pPr>
      <w:r>
        <w:rPr>
          <w:rFonts w:hint="eastAsia"/>
        </w:rPr>
        <w:t>证书编号。</w:t>
      </w:r>
    </w:p>
    <w:p>
      <w:pPr>
        <w:ind w:left="420" w:leftChars="200"/>
      </w:pPr>
      <w:r>
        <w:t>实物照片；</w:t>
      </w:r>
    </w:p>
    <w:p>
      <w:pPr>
        <w:ind w:left="420" w:leftChars="200"/>
      </w:pPr>
      <w:r>
        <w:t>质量；</w:t>
      </w:r>
    </w:p>
    <w:p>
      <w:pPr>
        <w:ind w:left="420" w:leftChars="200"/>
      </w:pPr>
      <w:r>
        <w:t>颜色分级结论</w:t>
      </w:r>
      <w:r>
        <w:rPr>
          <w:rFonts w:hint="eastAsia"/>
        </w:rPr>
        <w:t>；</w:t>
      </w:r>
    </w:p>
    <w:p>
      <w:pPr>
        <w:ind w:left="420" w:leftChars="200"/>
      </w:pPr>
      <w:r>
        <w:t>透明度分级结论</w:t>
      </w:r>
      <w:r>
        <w:rPr>
          <w:rFonts w:hint="eastAsia"/>
        </w:rPr>
        <w:t>；</w:t>
      </w:r>
    </w:p>
    <w:p>
      <w:pPr>
        <w:ind w:left="420" w:leftChars="200"/>
      </w:pPr>
      <w:r>
        <w:t>质地分级结论；</w:t>
      </w:r>
    </w:p>
    <w:p>
      <w:pPr>
        <w:ind w:left="420" w:leftChars="200"/>
      </w:pPr>
      <w:r>
        <w:t>净度分级结论；</w:t>
      </w:r>
    </w:p>
    <w:p>
      <w:pPr>
        <w:ind w:left="420" w:leftChars="200"/>
      </w:pPr>
      <w:r>
        <w:t>工艺评价；</w:t>
      </w:r>
    </w:p>
    <w:p>
      <w:pPr>
        <w:ind w:left="420" w:leftChars="200"/>
      </w:pPr>
      <w:r>
        <w:t>签章和日期；</w:t>
      </w:r>
    </w:p>
    <w:p>
      <w:pPr>
        <w:pStyle w:val="3"/>
      </w:pPr>
      <w:bookmarkStart w:id="93" w:name="_Toc36716566"/>
      <w:bookmarkStart w:id="94" w:name="_Toc36716605"/>
      <w:bookmarkStart w:id="95" w:name="_Toc36716721"/>
      <w:bookmarkStart w:id="96" w:name="_Toc36717312"/>
      <w:bookmarkStart w:id="97" w:name="_Toc2221"/>
      <w:r>
        <w:rPr>
          <w:rFonts w:hint="eastAsia"/>
        </w:rPr>
        <w:t>7.2 其他</w:t>
      </w:r>
      <w:bookmarkEnd w:id="93"/>
      <w:bookmarkEnd w:id="94"/>
      <w:bookmarkEnd w:id="95"/>
      <w:bookmarkEnd w:id="96"/>
      <w:bookmarkEnd w:id="97"/>
    </w:p>
    <w:p>
      <w:pPr>
        <w:ind w:firstLine="420"/>
      </w:pPr>
      <w:r>
        <w:rPr>
          <w:rFonts w:hint="eastAsia"/>
        </w:rPr>
        <w:t>大同玉分级证书中可选择的内容。如饰品名称，规格，品质特征（颜色形状及分布特点，典型内外部特征等）描述，透明度商贸俗称，备注等。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jc w:val="center"/>
      </w:pPr>
      <w:r>
        <w:t>_________________________________</w:t>
      </w:r>
    </w:p>
    <w:p/>
    <w:p>
      <w:pPr>
        <w:pStyle w:val="3"/>
        <w:jc w:val="center"/>
        <w:rPr>
          <w:rFonts w:hint="eastAsia"/>
        </w:rPr>
      </w:pPr>
    </w:p>
    <w:p>
      <w:pPr>
        <w:widowControl/>
        <w:jc w:val="left"/>
        <w:rPr>
          <w:rFonts w:ascii="黑体" w:hAnsi="黑体" w:eastAsia="黑体" w:cstheme="majorBidi"/>
          <w:b/>
          <w:bCs/>
          <w:szCs w:val="32"/>
        </w:rPr>
      </w:pPr>
      <w:r>
        <w:br w:type="page"/>
      </w:r>
    </w:p>
    <w:p>
      <w:pPr>
        <w:pStyle w:val="3"/>
        <w:jc w:val="center"/>
      </w:pPr>
      <w:bookmarkStart w:id="98" w:name="_Toc18474"/>
      <w:r>
        <w:rPr>
          <w:rFonts w:hint="eastAsia"/>
        </w:rPr>
        <w:t xml:space="preserve">附录A </w:t>
      </w:r>
      <w:r>
        <w:rPr>
          <w:rFonts w:hint="eastAsia"/>
          <w:lang w:eastAsia="zh-CN"/>
        </w:rPr>
        <w:t>大同玉（紫色）颜色分级</w:t>
      </w:r>
      <w:r>
        <w:rPr>
          <w:rFonts w:hint="eastAsia"/>
        </w:rPr>
        <w:t>色卡</w:t>
      </w:r>
      <w:bookmarkEnd w:id="98"/>
    </w:p>
    <w:p>
      <w:pPr>
        <w:jc w:val="center"/>
      </w:pPr>
      <w:r>
        <w:rPr>
          <w:rFonts w:hint="eastAsia"/>
        </w:rPr>
        <w:t>附录A.1 色卡P</w:t>
      </w:r>
    </w:p>
    <w:p>
      <w:r>
        <w:rPr>
          <w:rFonts w:hint="eastAsia"/>
        </w:rPr>
        <w:drawing>
          <wp:inline distT="0" distB="0" distL="0" distR="0">
            <wp:extent cx="5487670" cy="1610360"/>
            <wp:effectExtent l="0" t="0" r="0" b="8890"/>
            <wp:docPr id="1" name="图片 0" descr="微信图片_2021101815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11018152753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8307" t="32626" r="-2841" b="30362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325755</wp:posOffset>
            </wp:positionV>
            <wp:extent cx="5280660" cy="1710690"/>
            <wp:effectExtent l="0" t="0" r="15240" b="3810"/>
            <wp:wrapSquare wrapText="bothSides"/>
            <wp:docPr id="8" name="图片 1" descr="微信图片_2021101815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微信图片_20211018152809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2528" t="36069" r="3037" b="23133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附录A.2 色卡 R2P</w:t>
      </w:r>
      <w:r>
        <w:rPr/>
        <w:br w:type="textWrapping" w:clear="all"/>
      </w:r>
    </w:p>
    <w:p>
      <w:pPr>
        <w:jc w:val="center"/>
      </w:pPr>
      <w:r>
        <w:rPr>
          <w:rFonts w:hint="eastAsia"/>
        </w:rPr>
        <w:t>附录A.3 色卡 B2P</w:t>
      </w:r>
    </w:p>
    <w:p>
      <w:r>
        <w:drawing>
          <wp:inline distT="0" distB="0" distL="0" distR="0">
            <wp:extent cx="5342890" cy="1895475"/>
            <wp:effectExtent l="0" t="0" r="10160" b="9525"/>
            <wp:docPr id="7" name="图片 1" descr="E:\大同玉\微信图片_2021101815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E:\大同玉\微信图片_202110181528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682" t="33204" r="1332" b="2154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jc w:val="left"/>
      </w:pPr>
      <w:r>
        <w:br w:type="page"/>
      </w:r>
    </w:p>
    <w:p>
      <w:pPr>
        <w:pStyle w:val="3"/>
        <w:jc w:val="center"/>
      </w:pPr>
      <w:bookmarkStart w:id="99" w:name="_Toc24501"/>
      <w:r>
        <w:rPr>
          <w:rFonts w:hint="eastAsia"/>
        </w:rPr>
        <w:t>附录B 大同玉常见内、外部特征</w:t>
      </w:r>
      <w:bookmarkEnd w:id="99"/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71" w:type="dxa"/>
          </w:tcPr>
          <w:p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点状物</w:t>
            </w:r>
          </w:p>
        </w:tc>
        <w:tc>
          <w:tcPr>
            <w:tcW w:w="6571" w:type="dxa"/>
          </w:tcPr>
          <w:p>
            <w:r>
              <w:rPr>
                <w:rFonts w:hint="eastAsia"/>
              </w:rPr>
              <w:t>大同玉中的点状内含物，可呈白、灰白、黄、褐、黑等颜色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絮状物</w:t>
            </w:r>
          </w:p>
        </w:tc>
        <w:tc>
          <w:tcPr>
            <w:tcW w:w="6571" w:type="dxa"/>
          </w:tcPr>
          <w:p>
            <w:r>
              <w:rPr>
                <w:rFonts w:hint="eastAsia"/>
              </w:rPr>
              <w:t>大同玉中的棉絮状内含物，主要呈白、灰白、黄、褐、黑等颜色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条带</w:t>
            </w:r>
          </w:p>
        </w:tc>
        <w:tc>
          <w:tcPr>
            <w:tcW w:w="6571" w:type="dxa"/>
          </w:tcPr>
          <w:p>
            <w:r>
              <w:rPr>
                <w:rFonts w:hint="eastAsia"/>
              </w:rPr>
              <w:t>大同玉中颜色或结构呈同心纹层状或带状不均匀分布的特征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石花</w:t>
            </w:r>
          </w:p>
        </w:tc>
        <w:tc>
          <w:tcPr>
            <w:tcW w:w="6571" w:type="dxa"/>
          </w:tcPr>
          <w:p>
            <w:r>
              <w:rPr>
                <w:rFonts w:hint="eastAsia"/>
              </w:rPr>
              <w:t>大同玉中所含的少量点状、斑状白色或暗色矿物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绺</w:t>
            </w:r>
          </w:p>
        </w:tc>
        <w:tc>
          <w:tcPr>
            <w:tcW w:w="6571" w:type="dxa"/>
          </w:tcPr>
          <w:p>
            <w:r>
              <w:rPr>
                <w:rFonts w:hint="eastAsia"/>
              </w:rPr>
              <w:t>大同玉成矿过程中形成的少量呈定向分布或交错的劈理、裂理等，未出露表面，部分经过了充填、愈合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裂</w:t>
            </w:r>
          </w:p>
        </w:tc>
        <w:tc>
          <w:tcPr>
            <w:tcW w:w="6571" w:type="dxa"/>
          </w:tcPr>
          <w:p>
            <w:r>
              <w:rPr>
                <w:rFonts w:hint="eastAsia"/>
              </w:rPr>
              <w:t>大同玉中受外力作用形成的劈理、裂理等，出露于表面</w:t>
            </w:r>
          </w:p>
        </w:tc>
      </w:tr>
    </w:tbl>
    <w:p/>
    <w:sectPr>
      <w:footerReference r:id="rId7" w:type="default"/>
      <w:type w:val="continuous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NumberOnly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845960"/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III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0350977"/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583"/>
    <w:multiLevelType w:val="multilevel"/>
    <w:tmpl w:val="03FB5583"/>
    <w:lvl w:ilvl="0" w:tentative="0">
      <w:start w:val="1"/>
      <w:numFmt w:val="decimal"/>
      <w:pStyle w:val="2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23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2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4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2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1"/>
        <w:u w:val="none"/>
        <w:vertAlign w:val="baseline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color w:val="00000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EC0"/>
    <w:rsid w:val="0000571D"/>
    <w:rsid w:val="0001300F"/>
    <w:rsid w:val="00024D29"/>
    <w:rsid w:val="000664EB"/>
    <w:rsid w:val="00090306"/>
    <w:rsid w:val="000B2CC7"/>
    <w:rsid w:val="000D28A8"/>
    <w:rsid w:val="000D66D2"/>
    <w:rsid w:val="000F7158"/>
    <w:rsid w:val="00116A98"/>
    <w:rsid w:val="00163DCC"/>
    <w:rsid w:val="00171A98"/>
    <w:rsid w:val="001A54D7"/>
    <w:rsid w:val="0021473F"/>
    <w:rsid w:val="002160EF"/>
    <w:rsid w:val="0026678A"/>
    <w:rsid w:val="00291EC0"/>
    <w:rsid w:val="002A4F00"/>
    <w:rsid w:val="002C5F72"/>
    <w:rsid w:val="00367A37"/>
    <w:rsid w:val="00387988"/>
    <w:rsid w:val="00395E57"/>
    <w:rsid w:val="003E472F"/>
    <w:rsid w:val="004171D8"/>
    <w:rsid w:val="004643EA"/>
    <w:rsid w:val="00474D49"/>
    <w:rsid w:val="0048761F"/>
    <w:rsid w:val="00512C3E"/>
    <w:rsid w:val="00564489"/>
    <w:rsid w:val="005C7DC0"/>
    <w:rsid w:val="005E1522"/>
    <w:rsid w:val="00602775"/>
    <w:rsid w:val="006569FA"/>
    <w:rsid w:val="00690295"/>
    <w:rsid w:val="0071297F"/>
    <w:rsid w:val="0075467F"/>
    <w:rsid w:val="007A108D"/>
    <w:rsid w:val="007E0F18"/>
    <w:rsid w:val="00814365"/>
    <w:rsid w:val="008B01EB"/>
    <w:rsid w:val="008B7582"/>
    <w:rsid w:val="008C3D23"/>
    <w:rsid w:val="008D41BE"/>
    <w:rsid w:val="00900CB7"/>
    <w:rsid w:val="00920182"/>
    <w:rsid w:val="00943197"/>
    <w:rsid w:val="00976D91"/>
    <w:rsid w:val="009C77D8"/>
    <w:rsid w:val="009D4626"/>
    <w:rsid w:val="00A30497"/>
    <w:rsid w:val="00A51BF0"/>
    <w:rsid w:val="00A613FB"/>
    <w:rsid w:val="00A669AC"/>
    <w:rsid w:val="00AA5293"/>
    <w:rsid w:val="00AB6BF1"/>
    <w:rsid w:val="00B160C0"/>
    <w:rsid w:val="00B52BAA"/>
    <w:rsid w:val="00BC6897"/>
    <w:rsid w:val="00C14743"/>
    <w:rsid w:val="00C262FF"/>
    <w:rsid w:val="00C60F65"/>
    <w:rsid w:val="00CB13C9"/>
    <w:rsid w:val="00CB20F8"/>
    <w:rsid w:val="00CC5865"/>
    <w:rsid w:val="00D17D91"/>
    <w:rsid w:val="00D96918"/>
    <w:rsid w:val="00DC7D2F"/>
    <w:rsid w:val="00DD6787"/>
    <w:rsid w:val="00DE3A97"/>
    <w:rsid w:val="00E138E0"/>
    <w:rsid w:val="00E2619F"/>
    <w:rsid w:val="00E57898"/>
    <w:rsid w:val="00E67B47"/>
    <w:rsid w:val="00EB59AD"/>
    <w:rsid w:val="00EF217A"/>
    <w:rsid w:val="00EF5B26"/>
    <w:rsid w:val="00F34BDD"/>
    <w:rsid w:val="00F92EC2"/>
    <w:rsid w:val="00F94D03"/>
    <w:rsid w:val="00F96EFB"/>
    <w:rsid w:val="00FB24C0"/>
    <w:rsid w:val="00FB60F8"/>
    <w:rsid w:val="00FF0E30"/>
    <w:rsid w:val="0178709D"/>
    <w:rsid w:val="160F45B5"/>
    <w:rsid w:val="210368F4"/>
    <w:rsid w:val="28466D10"/>
    <w:rsid w:val="28826CAA"/>
    <w:rsid w:val="29325A45"/>
    <w:rsid w:val="2DCC7054"/>
    <w:rsid w:val="2E940776"/>
    <w:rsid w:val="2F0A1B74"/>
    <w:rsid w:val="38594354"/>
    <w:rsid w:val="393B5316"/>
    <w:rsid w:val="3A1B7230"/>
    <w:rsid w:val="3F97345C"/>
    <w:rsid w:val="3FE032D2"/>
    <w:rsid w:val="432D15FA"/>
    <w:rsid w:val="44895A5B"/>
    <w:rsid w:val="48FA2E81"/>
    <w:rsid w:val="495D123E"/>
    <w:rsid w:val="4B4C7233"/>
    <w:rsid w:val="4F121E8D"/>
    <w:rsid w:val="4F5E1C6D"/>
    <w:rsid w:val="550A1D04"/>
    <w:rsid w:val="5A6E73F3"/>
    <w:rsid w:val="5C1B38E2"/>
    <w:rsid w:val="5DD02D50"/>
    <w:rsid w:val="5FDC0A8B"/>
    <w:rsid w:val="602424D1"/>
    <w:rsid w:val="62FB10E1"/>
    <w:rsid w:val="64E45B6E"/>
    <w:rsid w:val="66306D8A"/>
    <w:rsid w:val="6735191E"/>
    <w:rsid w:val="67527E8C"/>
    <w:rsid w:val="67571B9F"/>
    <w:rsid w:val="677A1BFB"/>
    <w:rsid w:val="6C965E9E"/>
    <w:rsid w:val="6CDD7A7D"/>
    <w:rsid w:val="78CC69C2"/>
    <w:rsid w:val="79EE2621"/>
    <w:rsid w:val="7B66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黑体" w:hAnsi="黑体" w:eastAsia="黑体" w:cstheme="majorBidi"/>
      <w:b/>
      <w:bCs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黑体" w:hAnsi="黑体" w:eastAsia="黑体"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9">
    <w:name w:val="段 Char"/>
    <w:basedOn w:val="14"/>
    <w:link w:val="20"/>
    <w:qFormat/>
    <w:uiPriority w:val="0"/>
    <w:rPr>
      <w:rFonts w:ascii="宋体"/>
    </w:rPr>
  </w:style>
  <w:style w:type="paragraph" w:customStyle="1" w:styleId="20">
    <w:name w:val="段"/>
    <w:link w:val="1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22">
    <w:name w:val="正文表标题"/>
    <w:next w:val="20"/>
    <w:qFormat/>
    <w:uiPriority w:val="0"/>
    <w:pPr>
      <w:numPr>
        <w:ilvl w:val="0"/>
        <w:numId w:val="1"/>
      </w:num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二级条标题"/>
    <w:basedOn w:val="24"/>
    <w:next w:val="20"/>
    <w:qFormat/>
    <w:uiPriority w:val="0"/>
    <w:pPr>
      <w:numPr>
        <w:ilvl w:val="2"/>
        <w:numId w:val="2"/>
      </w:numPr>
      <w:tabs>
        <w:tab w:val="left" w:pos="2160"/>
      </w:tabs>
      <w:spacing w:before="50" w:after="50"/>
      <w:outlineLvl w:val="3"/>
    </w:pPr>
  </w:style>
  <w:style w:type="paragraph" w:customStyle="1" w:styleId="24">
    <w:name w:val="一级条标题"/>
    <w:next w:val="20"/>
    <w:qFormat/>
    <w:uiPriority w:val="0"/>
    <w:pPr>
      <w:numPr>
        <w:ilvl w:val="1"/>
        <w:numId w:val="3"/>
      </w:numPr>
      <w:spacing w:beforeLines="50" w:afterLines="50"/>
      <w:ind w:left="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5">
    <w:name w:val="三级条标题"/>
    <w:basedOn w:val="23"/>
    <w:next w:val="20"/>
    <w:qFormat/>
    <w:uiPriority w:val="0"/>
    <w:pPr>
      <w:numPr>
        <w:ilvl w:val="3"/>
      </w:numPr>
      <w:outlineLvl w:val="4"/>
    </w:pPr>
  </w:style>
  <w:style w:type="paragraph" w:customStyle="1" w:styleId="26">
    <w:name w:val="一级无"/>
    <w:basedOn w:val="2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27">
    <w:name w:val="章标题"/>
    <w:next w:val="20"/>
    <w:qFormat/>
    <w:uiPriority w:val="0"/>
    <w:pPr>
      <w:tabs>
        <w:tab w:val="left" w:pos="720"/>
      </w:tabs>
      <w:spacing w:beforeLines="100" w:afterLines="100"/>
      <w:ind w:left="720" w:hanging="7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">
    <w:name w:val="字母编号列项（一级）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9">
    <w:name w:val="标题 1 Char"/>
    <w:basedOn w:val="14"/>
    <w:link w:val="2"/>
    <w:qFormat/>
    <w:uiPriority w:val="9"/>
    <w:rPr>
      <w:rFonts w:ascii="黑体" w:hAnsi="黑体" w:eastAsia="黑体" w:cs="Times New Roman"/>
      <w:b/>
      <w:bCs/>
      <w:kern w:val="44"/>
      <w:szCs w:val="44"/>
    </w:rPr>
  </w:style>
  <w:style w:type="paragraph" w:customStyle="1" w:styleId="30">
    <w:name w:val="分级标题"/>
    <w:basedOn w:val="1"/>
    <w:link w:val="32"/>
    <w:qFormat/>
    <w:uiPriority w:val="0"/>
  </w:style>
  <w:style w:type="character" w:customStyle="1" w:styleId="31">
    <w:name w:val="标题 2 Char"/>
    <w:basedOn w:val="14"/>
    <w:link w:val="3"/>
    <w:uiPriority w:val="9"/>
    <w:rPr>
      <w:rFonts w:ascii="黑体" w:hAnsi="黑体" w:eastAsia="黑体" w:cstheme="majorBidi"/>
      <w:b/>
      <w:bCs/>
      <w:szCs w:val="32"/>
    </w:rPr>
  </w:style>
  <w:style w:type="character" w:customStyle="1" w:styleId="32">
    <w:name w:val="分级标题 Char"/>
    <w:basedOn w:val="14"/>
    <w:link w:val="30"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标题 3 Char"/>
    <w:basedOn w:val="14"/>
    <w:link w:val="4"/>
    <w:qFormat/>
    <w:uiPriority w:val="9"/>
    <w:rPr>
      <w:rFonts w:ascii="黑体" w:hAnsi="黑体" w:eastAsia="黑体" w:cs="Times New Roman"/>
      <w:bCs/>
      <w:szCs w:val="32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35">
    <w:name w:val="前言、引言标题"/>
    <w:next w:val="20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character" w:customStyle="1" w:styleId="36">
    <w:name w:val="批注框文本 Char"/>
    <w:basedOn w:val="14"/>
    <w:link w:val="6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B4A81-0B79-47DA-94AC-4593F30E90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1236</Words>
  <Characters>7051</Characters>
  <Lines>58</Lines>
  <Paragraphs>16</Paragraphs>
  <TotalTime>0</TotalTime>
  <ScaleCrop>false</ScaleCrop>
  <LinksUpToDate>false</LinksUpToDate>
  <CharactersWithSpaces>8271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2021-02-26T07:42:00Z</dcterms:created>
  <dc:creator>christine</dc:creator>
  <cp:lastModifiedBy>牛昊庭</cp:lastModifiedBy>
  <cp:lastPrinted>2011-01-01T09:25:00Z</cp:lastPrinted>
  <dcterms:modified xsi:type="dcterms:W3CDTF">2011-01-01T15:38:39Z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625F4D629D694A2C935B71D828F73319</vt:lpwstr>
  </property>
</Properties>
</file>